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EA3" w:rsidRPr="0016558A" w:rsidRDefault="00BC5EA3" w:rsidP="00BC5EA3">
      <w:pPr>
        <w:tabs>
          <w:tab w:val="left" w:pos="2160"/>
        </w:tabs>
        <w:ind w:right="386" w:firstLine="540"/>
        <w:jc w:val="right"/>
        <w:rPr>
          <w:rFonts w:cs="Arial"/>
          <w:b/>
          <w:bCs/>
        </w:rPr>
      </w:pPr>
      <w:r w:rsidRPr="0016558A">
        <w:rPr>
          <w:noProof/>
        </w:rPr>
        <w:drawing>
          <wp:inline distT="0" distB="0" distL="0" distR="0" wp14:anchorId="43CD69C5" wp14:editId="3A5F726C">
            <wp:extent cx="944245" cy="1262380"/>
            <wp:effectExtent l="0" t="0" r="825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245" cy="1262380"/>
                    </a:xfrm>
                    <a:prstGeom prst="rect">
                      <a:avLst/>
                    </a:prstGeom>
                    <a:noFill/>
                    <a:ln>
                      <a:noFill/>
                    </a:ln>
                  </pic:spPr>
                </pic:pic>
              </a:graphicData>
            </a:graphic>
          </wp:inline>
        </w:drawing>
      </w:r>
    </w:p>
    <w:p w:rsidR="00D624F7" w:rsidRPr="00AF3DC8" w:rsidRDefault="00D624F7" w:rsidP="00D624F7">
      <w:pPr>
        <w:pStyle w:val="Heading2"/>
        <w:ind w:left="0" w:firstLine="0"/>
        <w:rPr>
          <w:sz w:val="24"/>
        </w:rPr>
      </w:pPr>
    </w:p>
    <w:p w:rsidR="00E4501F" w:rsidRDefault="00D624F7" w:rsidP="00D624F7">
      <w:pPr>
        <w:pStyle w:val="Heading2"/>
        <w:tabs>
          <w:tab w:val="clear" w:pos="1701"/>
          <w:tab w:val="clear" w:pos="5670"/>
          <w:tab w:val="left" w:pos="2268"/>
          <w:tab w:val="left" w:pos="5387"/>
        </w:tabs>
        <w:ind w:left="2268" w:hanging="2268"/>
        <w:rPr>
          <w:sz w:val="24"/>
        </w:rPr>
      </w:pPr>
      <w:r w:rsidRPr="00AF3DC8">
        <w:rPr>
          <w:sz w:val="24"/>
        </w:rPr>
        <w:t xml:space="preserve">To: </w:t>
      </w:r>
      <w:r w:rsidRPr="00AF3DC8">
        <w:rPr>
          <w:sz w:val="24"/>
        </w:rPr>
        <w:tab/>
        <w:t>Council</w:t>
      </w:r>
      <w:r w:rsidRPr="00AF3DC8">
        <w:rPr>
          <w:sz w:val="24"/>
        </w:rPr>
        <w:tab/>
      </w:r>
    </w:p>
    <w:p w:rsidR="00D43B9F" w:rsidRDefault="00D624F7" w:rsidP="00D624F7">
      <w:pPr>
        <w:pStyle w:val="Heading2"/>
        <w:tabs>
          <w:tab w:val="clear" w:pos="1701"/>
          <w:tab w:val="clear" w:pos="5670"/>
          <w:tab w:val="left" w:pos="2268"/>
          <w:tab w:val="left" w:pos="5387"/>
        </w:tabs>
        <w:ind w:left="2268" w:hanging="2268"/>
        <w:rPr>
          <w:sz w:val="24"/>
        </w:rPr>
      </w:pPr>
      <w:r w:rsidRPr="00AF3DC8">
        <w:rPr>
          <w:sz w:val="24"/>
        </w:rPr>
        <w:t>Date:</w:t>
      </w:r>
      <w:r w:rsidRPr="00AF3DC8">
        <w:rPr>
          <w:sz w:val="24"/>
        </w:rPr>
        <w:tab/>
        <w:t>1</w:t>
      </w:r>
      <w:r w:rsidR="00D43B9F">
        <w:rPr>
          <w:sz w:val="24"/>
        </w:rPr>
        <w:t>6</w:t>
      </w:r>
      <w:r w:rsidR="00547B77">
        <w:rPr>
          <w:sz w:val="24"/>
        </w:rPr>
        <w:t xml:space="preserve"> February 202</w:t>
      </w:r>
      <w:r w:rsidR="00D43B9F">
        <w:rPr>
          <w:sz w:val="24"/>
        </w:rPr>
        <w:t>2</w:t>
      </w:r>
    </w:p>
    <w:p w:rsidR="00D624F7" w:rsidRDefault="00D624F7" w:rsidP="00D624F7">
      <w:pPr>
        <w:pStyle w:val="Heading2"/>
        <w:tabs>
          <w:tab w:val="clear" w:pos="1701"/>
          <w:tab w:val="clear" w:pos="5670"/>
          <w:tab w:val="left" w:pos="2268"/>
          <w:tab w:val="left" w:pos="5387"/>
        </w:tabs>
        <w:ind w:left="2268" w:hanging="2268"/>
        <w:rPr>
          <w:sz w:val="24"/>
        </w:rPr>
      </w:pPr>
      <w:r w:rsidRPr="00AF3DC8">
        <w:rPr>
          <w:sz w:val="24"/>
        </w:rPr>
        <w:t xml:space="preserve">Report of: </w:t>
      </w:r>
      <w:r w:rsidRPr="00AF3DC8">
        <w:rPr>
          <w:sz w:val="24"/>
        </w:rPr>
        <w:tab/>
        <w:t>Head of Financial Services</w:t>
      </w:r>
    </w:p>
    <w:p w:rsidR="00D624F7" w:rsidRDefault="00D624F7" w:rsidP="00D624F7">
      <w:pPr>
        <w:pStyle w:val="Heading2"/>
        <w:tabs>
          <w:tab w:val="clear" w:pos="1701"/>
          <w:tab w:val="clear" w:pos="5670"/>
          <w:tab w:val="left" w:pos="2268"/>
          <w:tab w:val="left" w:pos="5387"/>
        </w:tabs>
        <w:ind w:left="2268" w:hanging="2268"/>
        <w:rPr>
          <w:sz w:val="24"/>
        </w:rPr>
      </w:pPr>
      <w:r w:rsidRPr="00AF3DC8">
        <w:rPr>
          <w:sz w:val="24"/>
        </w:rPr>
        <w:t xml:space="preserve">Title of Report: </w:t>
      </w:r>
      <w:r w:rsidRPr="00AF3DC8">
        <w:rPr>
          <w:sz w:val="24"/>
        </w:rPr>
        <w:tab/>
        <w:t>Chief Finance Officer’s report on the robustness of the Council’s 202</w:t>
      </w:r>
      <w:r w:rsidR="005D1F05">
        <w:rPr>
          <w:sz w:val="24"/>
        </w:rPr>
        <w:t>2</w:t>
      </w:r>
      <w:r w:rsidRPr="00AF3DC8">
        <w:rPr>
          <w:sz w:val="24"/>
        </w:rPr>
        <w:t>/2</w:t>
      </w:r>
      <w:r w:rsidR="005D1F05">
        <w:rPr>
          <w:sz w:val="24"/>
        </w:rPr>
        <w:t>3</w:t>
      </w:r>
      <w:r w:rsidRPr="00AF3DC8">
        <w:rPr>
          <w:sz w:val="24"/>
        </w:rPr>
        <w:t xml:space="preserve"> budget</w:t>
      </w:r>
    </w:p>
    <w:p w:rsidR="00E4501F" w:rsidRPr="00E4501F" w:rsidRDefault="00E4501F" w:rsidP="00E4501F">
      <w:pPr>
        <w:rPr>
          <w:lang w:eastAsia="en-US"/>
        </w:rPr>
      </w:pPr>
    </w:p>
    <w:p w:rsidR="00150DF7" w:rsidRPr="00BC5EA3" w:rsidRDefault="00150DF7" w:rsidP="00F212BD">
      <w:pPr>
        <w:pBdr>
          <w:top w:val="single" w:sz="4" w:space="1" w:color="auto"/>
          <w:left w:val="single" w:sz="4" w:space="4" w:color="auto"/>
          <w:bottom w:val="single" w:sz="4" w:space="1" w:color="auto"/>
          <w:right w:val="single" w:sz="4" w:space="4" w:color="auto"/>
        </w:pBdr>
        <w:ind w:right="226"/>
        <w:jc w:val="center"/>
        <w:rPr>
          <w:rStyle w:val="Firstpagetablebold"/>
        </w:rPr>
      </w:pPr>
      <w:r w:rsidRPr="00BC5EA3">
        <w:rPr>
          <w:rStyle w:val="Firstpagetablebold"/>
        </w:rPr>
        <w:t>Summary and Recommendations</w:t>
      </w:r>
    </w:p>
    <w:p w:rsidR="00150DF7" w:rsidRPr="00BC5EA3" w:rsidRDefault="00150DF7" w:rsidP="00F212BD">
      <w:pPr>
        <w:pBdr>
          <w:top w:val="single" w:sz="4" w:space="1" w:color="auto"/>
          <w:left w:val="single" w:sz="4" w:space="4" w:color="auto"/>
          <w:bottom w:val="single" w:sz="4" w:space="1" w:color="auto"/>
          <w:right w:val="single" w:sz="4" w:space="4" w:color="auto"/>
        </w:pBdr>
        <w:ind w:right="226"/>
        <w:rPr>
          <w:rStyle w:val="Firstpagetablebold"/>
        </w:rPr>
      </w:pPr>
      <w:r w:rsidRPr="00BC5EA3">
        <w:rPr>
          <w:rStyle w:val="Firstpagetablebold"/>
        </w:rPr>
        <w:t xml:space="preserve">Purpose of report: </w:t>
      </w:r>
    </w:p>
    <w:p w:rsidR="00150DF7" w:rsidRDefault="00150DF7" w:rsidP="00F212BD">
      <w:pPr>
        <w:pBdr>
          <w:top w:val="single" w:sz="4" w:space="1" w:color="auto"/>
          <w:left w:val="single" w:sz="4" w:space="4" w:color="auto"/>
          <w:bottom w:val="single" w:sz="4" w:space="1" w:color="auto"/>
          <w:right w:val="single" w:sz="4" w:space="4" w:color="auto"/>
        </w:pBdr>
        <w:ind w:right="226"/>
      </w:pPr>
      <w:r>
        <w:t xml:space="preserve">Under Section 25 of the Local Government Act 2003 there is a requirement for the Council’s Chief Financial Officer to report to Council on: </w:t>
      </w:r>
    </w:p>
    <w:p w:rsidR="00150DF7" w:rsidRDefault="00192624" w:rsidP="00192624">
      <w:pPr>
        <w:pBdr>
          <w:top w:val="single" w:sz="4" w:space="1" w:color="auto"/>
          <w:left w:val="single" w:sz="4" w:space="4" w:color="auto"/>
          <w:bottom w:val="single" w:sz="4" w:space="1" w:color="auto"/>
          <w:right w:val="single" w:sz="4" w:space="4" w:color="auto"/>
        </w:pBdr>
        <w:ind w:left="567" w:right="226" w:hanging="567"/>
      </w:pPr>
      <w:r>
        <w:t>a)</w:t>
      </w:r>
      <w:r>
        <w:tab/>
      </w:r>
      <w:r w:rsidR="00150DF7">
        <w:t xml:space="preserve">the robustness of the estimates made for the purposes of the calculations of the budget; and </w:t>
      </w:r>
    </w:p>
    <w:p w:rsidR="00150DF7" w:rsidRDefault="00150DF7" w:rsidP="00192624">
      <w:pPr>
        <w:pBdr>
          <w:top w:val="single" w:sz="4" w:space="1" w:color="auto"/>
          <w:left w:val="single" w:sz="4" w:space="4" w:color="auto"/>
          <w:bottom w:val="single" w:sz="4" w:space="1" w:color="auto"/>
          <w:right w:val="single" w:sz="4" w:space="4" w:color="auto"/>
        </w:pBdr>
        <w:ind w:left="567" w:right="226" w:hanging="567"/>
      </w:pPr>
      <w:r>
        <w:t xml:space="preserve">b) </w:t>
      </w:r>
      <w:r w:rsidR="00192624">
        <w:tab/>
      </w:r>
      <w:r>
        <w:t xml:space="preserve">the adequacy of the proposed financial reserves. </w:t>
      </w:r>
    </w:p>
    <w:p w:rsidR="00150DF7" w:rsidRDefault="00150DF7" w:rsidP="00F212BD">
      <w:pPr>
        <w:pBdr>
          <w:top w:val="single" w:sz="4" w:space="1" w:color="auto"/>
          <w:left w:val="single" w:sz="4" w:space="4" w:color="auto"/>
          <w:bottom w:val="single" w:sz="4" w:space="1" w:color="auto"/>
          <w:right w:val="single" w:sz="4" w:space="4" w:color="auto"/>
        </w:pBdr>
        <w:ind w:right="226"/>
      </w:pPr>
    </w:p>
    <w:p w:rsidR="00150DF7" w:rsidRDefault="00150DF7" w:rsidP="00F212BD">
      <w:pPr>
        <w:pBdr>
          <w:top w:val="single" w:sz="4" w:space="1" w:color="auto"/>
          <w:left w:val="single" w:sz="4" w:space="4" w:color="auto"/>
          <w:bottom w:val="single" w:sz="4" w:space="1" w:color="auto"/>
          <w:right w:val="single" w:sz="4" w:space="4" w:color="auto"/>
        </w:pBdr>
        <w:ind w:right="226"/>
      </w:pPr>
      <w:r>
        <w:t>Council in considering its Budget should have regard to this advice.</w:t>
      </w:r>
    </w:p>
    <w:p w:rsidR="00150DF7" w:rsidRDefault="00150DF7" w:rsidP="00F212BD">
      <w:pPr>
        <w:pBdr>
          <w:top w:val="single" w:sz="4" w:space="1" w:color="auto"/>
          <w:left w:val="single" w:sz="4" w:space="4" w:color="auto"/>
          <w:bottom w:val="single" w:sz="4" w:space="1" w:color="auto"/>
          <w:right w:val="single" w:sz="4" w:space="4" w:color="auto"/>
        </w:pBdr>
        <w:ind w:right="226"/>
      </w:pPr>
    </w:p>
    <w:p w:rsidR="00150DF7" w:rsidRPr="00676A89" w:rsidRDefault="00150DF7" w:rsidP="00F212BD">
      <w:pPr>
        <w:pBdr>
          <w:top w:val="single" w:sz="4" w:space="1" w:color="auto"/>
          <w:left w:val="single" w:sz="4" w:space="4" w:color="auto"/>
          <w:bottom w:val="single" w:sz="4" w:space="1" w:color="auto"/>
          <w:right w:val="single" w:sz="4" w:space="4" w:color="auto"/>
        </w:pBdr>
        <w:ind w:right="226"/>
        <w:rPr>
          <w:rStyle w:val="Firstpagetablebold"/>
          <w:b w:val="0"/>
        </w:rPr>
      </w:pPr>
      <w:r w:rsidRPr="00BC5EA3">
        <w:rPr>
          <w:rStyle w:val="Firstpagetablebold"/>
        </w:rPr>
        <w:t xml:space="preserve">Recommendation: </w:t>
      </w:r>
      <w:r w:rsidRPr="00676A89">
        <w:rPr>
          <w:rStyle w:val="Firstpagetablebold"/>
          <w:b w:val="0"/>
        </w:rPr>
        <w:t>That Council notes this report in setting its budget for 202</w:t>
      </w:r>
      <w:r w:rsidR="00D43B9F">
        <w:rPr>
          <w:rStyle w:val="Firstpagetablebold"/>
          <w:b w:val="0"/>
        </w:rPr>
        <w:t>2</w:t>
      </w:r>
      <w:r w:rsidRPr="00676A89">
        <w:rPr>
          <w:rStyle w:val="Firstpagetablebold"/>
          <w:b w:val="0"/>
        </w:rPr>
        <w:t>/2</w:t>
      </w:r>
      <w:r w:rsidR="00D43B9F">
        <w:rPr>
          <w:rStyle w:val="Firstpagetablebold"/>
          <w:b w:val="0"/>
        </w:rPr>
        <w:t>3</w:t>
      </w:r>
      <w:r w:rsidRPr="00676A89">
        <w:rPr>
          <w:rStyle w:val="Firstpagetablebold"/>
          <w:b w:val="0"/>
        </w:rPr>
        <w:t xml:space="preserve"> and the indicative budgets for 202</w:t>
      </w:r>
      <w:r w:rsidR="00D43B9F">
        <w:rPr>
          <w:rStyle w:val="Firstpagetablebold"/>
          <w:b w:val="0"/>
        </w:rPr>
        <w:t>3</w:t>
      </w:r>
      <w:r w:rsidRPr="00676A89">
        <w:rPr>
          <w:rStyle w:val="Firstpagetablebold"/>
          <w:b w:val="0"/>
        </w:rPr>
        <w:t>/2</w:t>
      </w:r>
      <w:r w:rsidR="00D43B9F">
        <w:rPr>
          <w:rStyle w:val="Firstpagetablebold"/>
          <w:b w:val="0"/>
        </w:rPr>
        <w:t>4</w:t>
      </w:r>
      <w:r w:rsidRPr="00676A89">
        <w:rPr>
          <w:rStyle w:val="Firstpagetablebold"/>
          <w:b w:val="0"/>
        </w:rPr>
        <w:t xml:space="preserve"> – 202</w:t>
      </w:r>
      <w:r w:rsidR="0057406F">
        <w:rPr>
          <w:rStyle w:val="Firstpagetablebold"/>
          <w:b w:val="0"/>
        </w:rPr>
        <w:t>5</w:t>
      </w:r>
      <w:r w:rsidRPr="00676A89">
        <w:rPr>
          <w:rStyle w:val="Firstpagetablebold"/>
          <w:b w:val="0"/>
        </w:rPr>
        <w:t>/2</w:t>
      </w:r>
      <w:r w:rsidR="0057406F">
        <w:rPr>
          <w:rStyle w:val="Firstpagetablebold"/>
          <w:b w:val="0"/>
        </w:rPr>
        <w:t>6</w:t>
      </w:r>
      <w:bookmarkStart w:id="0" w:name="_GoBack"/>
      <w:bookmarkEnd w:id="0"/>
      <w:r w:rsidRPr="00676A89">
        <w:rPr>
          <w:rStyle w:val="Firstpagetablebold"/>
          <w:b w:val="0"/>
        </w:rPr>
        <w:t>.</w:t>
      </w:r>
    </w:p>
    <w:p w:rsidR="00F212BD" w:rsidRPr="00F212BD" w:rsidRDefault="00F212BD" w:rsidP="00F212BD">
      <w:pPr>
        <w:pBdr>
          <w:top w:val="single" w:sz="4" w:space="1" w:color="auto"/>
          <w:left w:val="single" w:sz="4" w:space="4" w:color="auto"/>
          <w:bottom w:val="single" w:sz="4" w:space="1" w:color="auto"/>
          <w:right w:val="single" w:sz="4" w:space="4" w:color="auto"/>
        </w:pBdr>
        <w:ind w:right="226"/>
        <w:rPr>
          <w:b/>
        </w:rPr>
      </w:pPr>
    </w:p>
    <w:p w:rsidR="00150DF7" w:rsidRDefault="00F64BE6" w:rsidP="00F212BD">
      <w:pPr>
        <w:pBdr>
          <w:top w:val="single" w:sz="4" w:space="1" w:color="auto"/>
          <w:left w:val="single" w:sz="4" w:space="4" w:color="auto"/>
          <w:bottom w:val="single" w:sz="4" w:space="1" w:color="auto"/>
          <w:right w:val="single" w:sz="4" w:space="1" w:color="auto"/>
        </w:pBdr>
        <w:spacing w:before="120"/>
        <w:ind w:right="226"/>
        <w:rPr>
          <w:rStyle w:val="Firstpagetablebold"/>
        </w:rPr>
      </w:pPr>
      <w:r>
        <w:rPr>
          <w:rStyle w:val="Firstpagetablebold"/>
        </w:rPr>
        <w:t>Appendix A</w:t>
      </w:r>
      <w:r w:rsidR="00150DF7" w:rsidRPr="00BC5EA3">
        <w:rPr>
          <w:rStyle w:val="Firstpagetablebold"/>
        </w:rPr>
        <w:t>: Statement of Reserves and Balances</w:t>
      </w:r>
    </w:p>
    <w:p w:rsidR="00F212BD" w:rsidRDefault="00F212BD" w:rsidP="00F212BD">
      <w:pPr>
        <w:pBdr>
          <w:top w:val="single" w:sz="4" w:space="1" w:color="auto"/>
          <w:left w:val="single" w:sz="4" w:space="4" w:color="auto"/>
          <w:bottom w:val="single" w:sz="4" w:space="1" w:color="auto"/>
          <w:right w:val="single" w:sz="4" w:space="1" w:color="auto"/>
        </w:pBdr>
        <w:spacing w:before="120"/>
        <w:ind w:right="226"/>
        <w:rPr>
          <w:rStyle w:val="Firstpagetablebold"/>
        </w:rPr>
      </w:pPr>
    </w:p>
    <w:p w:rsidR="00CB7331" w:rsidRDefault="00CB7331" w:rsidP="00CB7331">
      <w:pPr>
        <w:pStyle w:val="bParagraphtext"/>
      </w:pPr>
    </w:p>
    <w:p w:rsidR="00FF4EED" w:rsidRPr="000A4BC5" w:rsidRDefault="00FF4EED" w:rsidP="00CB7331">
      <w:pPr>
        <w:pStyle w:val="bParagraphtext"/>
        <w:rPr>
          <w:b/>
        </w:rPr>
      </w:pPr>
      <w:r w:rsidRPr="00FF4EED">
        <w:rPr>
          <w:b/>
        </w:rPr>
        <w:t>I</w:t>
      </w:r>
      <w:r w:rsidRPr="000A4BC5">
        <w:rPr>
          <w:b/>
        </w:rPr>
        <w:t>ntroduction</w:t>
      </w:r>
    </w:p>
    <w:p w:rsidR="00FF4EED" w:rsidRPr="000A4BC5" w:rsidRDefault="00FF4EED" w:rsidP="004F7E55">
      <w:pPr>
        <w:pStyle w:val="bParagraphtext"/>
        <w:numPr>
          <w:ilvl w:val="0"/>
          <w:numId w:val="11"/>
        </w:numPr>
      </w:pPr>
      <w:r w:rsidRPr="000A4BC5">
        <w:t xml:space="preserve">The COVID 19 pandemic </w:t>
      </w:r>
      <w:r w:rsidR="00086E59" w:rsidRPr="000A4BC5">
        <w:t xml:space="preserve">and the latest variant Omicron continues to create </w:t>
      </w:r>
      <w:r w:rsidRPr="000A4BC5">
        <w:t>significant financial hardship for many businesses and individuals in the city. The Council has not been immune from such problems</w:t>
      </w:r>
      <w:r w:rsidR="00086E59" w:rsidRPr="000A4BC5">
        <w:t xml:space="preserve">. In June 2020 </w:t>
      </w:r>
      <w:r w:rsidRPr="000A4BC5">
        <w:t>the Head of Financial Services report</w:t>
      </w:r>
      <w:r w:rsidR="00086E59" w:rsidRPr="000A4BC5">
        <w:t>ed</w:t>
      </w:r>
      <w:r w:rsidRPr="000A4BC5">
        <w:t xml:space="preserve"> a</w:t>
      </w:r>
      <w:r w:rsidR="00664A87" w:rsidRPr="000A4BC5">
        <w:t>n estimated</w:t>
      </w:r>
      <w:r w:rsidRPr="000A4BC5">
        <w:t xml:space="preserve"> £29 million budget deficit </w:t>
      </w:r>
      <w:r w:rsidR="00086E59" w:rsidRPr="000A4BC5">
        <w:t xml:space="preserve">over the four year MTFP to </w:t>
      </w:r>
      <w:r w:rsidRPr="000A4BC5">
        <w:t>Cabinet in his report of June 2020 recommending that the Council take immediate action to mitigate this potential overspend</w:t>
      </w:r>
      <w:r w:rsidR="00664A87" w:rsidRPr="000A4BC5">
        <w:t xml:space="preserve">.  </w:t>
      </w:r>
      <w:r w:rsidR="00086E59" w:rsidRPr="000A4BC5">
        <w:t xml:space="preserve">Whilst it is fair to say that this gap has not grown it has also not changed significantly and many of the assumptions around reduced income streams from commercial rents, car parking and town hall lettings remain in place. </w:t>
      </w:r>
      <w:r w:rsidR="00664A87" w:rsidRPr="000A4BC5">
        <w:t xml:space="preserve">Part of the action required was </w:t>
      </w:r>
      <w:r w:rsidRPr="000A4BC5">
        <w:t xml:space="preserve">the drawing </w:t>
      </w:r>
      <w:r w:rsidRPr="000A4BC5">
        <w:lastRenderedPageBreak/>
        <w:t xml:space="preserve">on reserves </w:t>
      </w:r>
      <w:r w:rsidR="00086E59" w:rsidRPr="000A4BC5">
        <w:t xml:space="preserve">to balance the deficit over the period and this still remains a key mitigation with the draw on reserves over the 4 year period now estimated at £11 million. </w:t>
      </w:r>
      <w:r w:rsidR="00AC7336">
        <w:t>It should be noted that as part of the budget setting strategy for the current MTFS reset the</w:t>
      </w:r>
      <w:r w:rsidR="00E536BB">
        <w:t xml:space="preserve"> advice of the Head of Financial Services (Section 151 Officer) is that should be </w:t>
      </w:r>
      <w:r w:rsidR="00AC7336">
        <w:t xml:space="preserve">no additional draw on these reserves over the next 4 year period.  </w:t>
      </w:r>
    </w:p>
    <w:p w:rsidR="00FF4EED" w:rsidRPr="002630C3" w:rsidRDefault="00FF4EED" w:rsidP="004F7E55">
      <w:pPr>
        <w:pStyle w:val="bParagraphtext"/>
        <w:numPr>
          <w:ilvl w:val="0"/>
          <w:numId w:val="11"/>
        </w:numPr>
      </w:pPr>
      <w:r w:rsidRPr="002630C3">
        <w:t>This report to Council is a statutory requirement of the Councils Chief Financial Officer under Section 25 of the Local Government Act 2003, to report to Council on :</w:t>
      </w:r>
    </w:p>
    <w:p w:rsidR="00FF4EED" w:rsidRPr="002630C3" w:rsidRDefault="00FF4EED" w:rsidP="004F7E55">
      <w:pPr>
        <w:pStyle w:val="bParagraphtext"/>
        <w:numPr>
          <w:ilvl w:val="0"/>
          <w:numId w:val="8"/>
        </w:numPr>
      </w:pPr>
      <w:r w:rsidRPr="002630C3">
        <w:t>The robustness of estimates made for the calculation of the budget</w:t>
      </w:r>
    </w:p>
    <w:p w:rsidR="00FF4EED" w:rsidRPr="002630C3" w:rsidRDefault="00FF4EED" w:rsidP="004F7E55">
      <w:pPr>
        <w:pStyle w:val="bParagraphtext"/>
        <w:numPr>
          <w:ilvl w:val="0"/>
          <w:numId w:val="8"/>
        </w:numPr>
      </w:pPr>
      <w:r w:rsidRPr="002630C3">
        <w:t>The adequacy of reserves</w:t>
      </w:r>
    </w:p>
    <w:p w:rsidR="00FF4EED" w:rsidRPr="002630C3" w:rsidRDefault="00FF4EED" w:rsidP="00FF4EED">
      <w:pPr>
        <w:pStyle w:val="bParagraphtext"/>
        <w:ind w:left="360"/>
      </w:pPr>
      <w:r w:rsidRPr="002630C3">
        <w:t>Council are required to consider this report alongside their budget setting discussions</w:t>
      </w:r>
      <w:r w:rsidR="0027316D" w:rsidRPr="002630C3">
        <w:t>.</w:t>
      </w:r>
    </w:p>
    <w:p w:rsidR="00E4501F" w:rsidRPr="002630C3" w:rsidRDefault="00E4501F" w:rsidP="00FF4EED">
      <w:pPr>
        <w:pStyle w:val="bParagraphtext"/>
        <w:ind w:left="360"/>
      </w:pPr>
    </w:p>
    <w:p w:rsidR="00BC5EA3" w:rsidRPr="002630C3" w:rsidRDefault="00150DF7" w:rsidP="00BC5EA3">
      <w:pPr>
        <w:pStyle w:val="Heading1"/>
      </w:pPr>
      <w:r w:rsidRPr="002630C3">
        <w:t>Preparation of the Medium Term Financial Plan</w:t>
      </w:r>
    </w:p>
    <w:p w:rsidR="005A3124" w:rsidRPr="002630C3" w:rsidRDefault="005A3124" w:rsidP="004F7E55">
      <w:pPr>
        <w:pStyle w:val="bParagraphtext"/>
        <w:numPr>
          <w:ilvl w:val="0"/>
          <w:numId w:val="11"/>
        </w:numPr>
      </w:pPr>
      <w:r w:rsidRPr="002630C3">
        <w:t>As in previous years the Council has undertaken a prudent and robust approach in developing its Medium Te</w:t>
      </w:r>
      <w:r w:rsidR="00ED6AD1" w:rsidRPr="002630C3">
        <w:t xml:space="preserve">rm Financial Strategy (“MTFS”) based on information that available to date. There is still uncertainty over a number of areas, some surrounding income streams </w:t>
      </w:r>
      <w:r w:rsidR="00664A87" w:rsidRPr="002630C3">
        <w:t>which have been adversely affected</w:t>
      </w:r>
      <w:r w:rsidR="00ED6AD1" w:rsidRPr="002630C3">
        <w:t xml:space="preserve"> by the pandemic, and others around Government policy such as retained business rates. Members should have regard to this when considering this report and officers will ensure that the position is closely monitored going forward.</w:t>
      </w:r>
    </w:p>
    <w:p w:rsidR="00E4501F" w:rsidRPr="00D43B9F" w:rsidRDefault="00E4501F" w:rsidP="00E4501F">
      <w:pPr>
        <w:pStyle w:val="bParagraphtext"/>
        <w:ind w:left="360"/>
        <w:rPr>
          <w:highlight w:val="yellow"/>
        </w:rPr>
      </w:pPr>
    </w:p>
    <w:p w:rsidR="00ED6AD1" w:rsidRPr="002630C3" w:rsidRDefault="00ED6AD1" w:rsidP="00ED6AD1">
      <w:pPr>
        <w:pStyle w:val="bParagraphtext"/>
        <w:rPr>
          <w:b/>
        </w:rPr>
      </w:pPr>
      <w:r w:rsidRPr="002630C3">
        <w:rPr>
          <w:b/>
        </w:rPr>
        <w:t>Robustness of Estimates</w:t>
      </w:r>
    </w:p>
    <w:p w:rsidR="004E430A" w:rsidRPr="002630C3" w:rsidRDefault="00952F58" w:rsidP="00BA2FA7">
      <w:pPr>
        <w:pStyle w:val="ListParagraph"/>
        <w:numPr>
          <w:ilvl w:val="3"/>
          <w:numId w:val="3"/>
        </w:numPr>
        <w:tabs>
          <w:tab w:val="left" w:pos="1134"/>
        </w:tabs>
        <w:spacing w:after="0"/>
        <w:ind w:left="426" w:right="386" w:hanging="426"/>
        <w:rPr>
          <w:rFonts w:cs="Arial"/>
        </w:rPr>
      </w:pPr>
      <w:r w:rsidRPr="002630C3">
        <w:rPr>
          <w:rFonts w:cs="Arial"/>
        </w:rPr>
        <w:t xml:space="preserve">Additional </w:t>
      </w:r>
      <w:r w:rsidR="002630C3" w:rsidRPr="002630C3">
        <w:rPr>
          <w:rFonts w:cs="Arial"/>
        </w:rPr>
        <w:t>e</w:t>
      </w:r>
      <w:r w:rsidR="004E430A" w:rsidRPr="002630C3">
        <w:rPr>
          <w:rFonts w:cs="Arial"/>
        </w:rPr>
        <w:t xml:space="preserve">fficiencies </w:t>
      </w:r>
      <w:r w:rsidR="002630C3" w:rsidRPr="002630C3">
        <w:rPr>
          <w:rFonts w:cs="Arial"/>
        </w:rPr>
        <w:t xml:space="preserve">over the year are planned which deliver </w:t>
      </w:r>
      <w:r w:rsidR="004E430A" w:rsidRPr="002630C3">
        <w:rPr>
          <w:rFonts w:cs="Arial"/>
        </w:rPr>
        <w:t>£</w:t>
      </w:r>
      <w:r w:rsidR="002630C3" w:rsidRPr="002630C3">
        <w:rPr>
          <w:rFonts w:cs="Arial"/>
        </w:rPr>
        <w:t>11.65</w:t>
      </w:r>
      <w:r w:rsidR="004E430A" w:rsidRPr="002630C3">
        <w:rPr>
          <w:rFonts w:cs="Arial"/>
        </w:rPr>
        <w:t xml:space="preserve"> million </w:t>
      </w:r>
      <w:r w:rsidR="002630C3" w:rsidRPr="002630C3">
        <w:rPr>
          <w:rFonts w:cs="Arial"/>
        </w:rPr>
        <w:t>of ongoing savings from 2025-26 onwards</w:t>
      </w:r>
      <w:r w:rsidR="00BA2FA7" w:rsidRPr="002630C3">
        <w:rPr>
          <w:rFonts w:cs="Arial"/>
        </w:rPr>
        <w:t>.</w:t>
      </w:r>
      <w:r w:rsidR="005060AB" w:rsidRPr="002630C3">
        <w:rPr>
          <w:rFonts w:cs="Arial"/>
        </w:rPr>
        <w:t xml:space="preserve"> </w:t>
      </w:r>
    </w:p>
    <w:p w:rsidR="004E430A" w:rsidRPr="002630C3" w:rsidRDefault="004E430A" w:rsidP="00952F58">
      <w:pPr>
        <w:pStyle w:val="ListParagraph"/>
        <w:tabs>
          <w:tab w:val="clear" w:pos="426"/>
          <w:tab w:val="left" w:pos="1134"/>
        </w:tabs>
        <w:spacing w:after="0"/>
        <w:ind w:left="1080" w:right="386"/>
        <w:rPr>
          <w:rFonts w:cs="Arial"/>
        </w:rPr>
      </w:pPr>
    </w:p>
    <w:p w:rsidR="005A3124" w:rsidRPr="002630C3" w:rsidRDefault="005A3124" w:rsidP="004F7E55">
      <w:pPr>
        <w:pStyle w:val="bParagraphtext"/>
        <w:numPr>
          <w:ilvl w:val="3"/>
          <w:numId w:val="3"/>
        </w:numPr>
        <w:ind w:left="426" w:hanging="426"/>
      </w:pPr>
      <w:r w:rsidRPr="002630C3">
        <w:t>All aspects of the Council’s budget, efficiency savings, additional income streams, and pressures have been subject to rigorous review, with Service Heads being required to review the plans they put forward in previous years and confirm delivery of the proposals</w:t>
      </w:r>
      <w:r w:rsidR="00695557" w:rsidRPr="002630C3">
        <w:t xml:space="preserve"> over the life of the MTFS</w:t>
      </w:r>
      <w:r w:rsidRPr="002630C3">
        <w:t xml:space="preserve">.  </w:t>
      </w:r>
    </w:p>
    <w:p w:rsidR="005A3124" w:rsidRPr="002630C3" w:rsidRDefault="005A3124" w:rsidP="004F7E55">
      <w:pPr>
        <w:pStyle w:val="ListParagraph"/>
        <w:numPr>
          <w:ilvl w:val="3"/>
          <w:numId w:val="3"/>
        </w:numPr>
        <w:ind w:hanging="3240"/>
      </w:pPr>
      <w:r w:rsidRPr="002630C3">
        <w:t xml:space="preserve">Scrutiny of the budget has been undertaken by </w:t>
      </w:r>
    </w:p>
    <w:p w:rsidR="005A3124" w:rsidRPr="002630C3" w:rsidRDefault="005A3124" w:rsidP="005A3124">
      <w:pPr>
        <w:pStyle w:val="Bulletpoints"/>
      </w:pPr>
      <w:r w:rsidRPr="002630C3">
        <w:t xml:space="preserve">The Finance Team </w:t>
      </w:r>
    </w:p>
    <w:p w:rsidR="005A3124" w:rsidRPr="002630C3" w:rsidRDefault="005A3124" w:rsidP="005A3124">
      <w:pPr>
        <w:pStyle w:val="Bulletpoints"/>
      </w:pPr>
      <w:r w:rsidRPr="002630C3">
        <w:t xml:space="preserve">Directors and the Chief Executive </w:t>
      </w:r>
    </w:p>
    <w:p w:rsidR="005A3124" w:rsidRPr="002630C3" w:rsidRDefault="005A3124" w:rsidP="005A3124">
      <w:pPr>
        <w:pStyle w:val="Bulletpoints"/>
      </w:pPr>
      <w:r w:rsidRPr="002630C3">
        <w:t xml:space="preserve">Executive Members </w:t>
      </w:r>
    </w:p>
    <w:p w:rsidR="005A3124" w:rsidRPr="002630C3" w:rsidRDefault="005A3124" w:rsidP="005A3124">
      <w:pPr>
        <w:pStyle w:val="Bulletpoints"/>
      </w:pPr>
      <w:r w:rsidRPr="002630C3">
        <w:t xml:space="preserve">The Scrutiny Committee’s Finance Panel </w:t>
      </w:r>
    </w:p>
    <w:p w:rsidR="005A3124" w:rsidRPr="002630C3" w:rsidRDefault="005A3124" w:rsidP="004F7E55">
      <w:pPr>
        <w:pStyle w:val="bParagraphtext"/>
        <w:numPr>
          <w:ilvl w:val="0"/>
          <w:numId w:val="10"/>
        </w:numPr>
        <w:ind w:left="426" w:hanging="426"/>
      </w:pPr>
      <w:r w:rsidRPr="002630C3">
        <w:t xml:space="preserve">Monitoring of the budget through the year is undertaken by Financial Services in conjunction with Heads of Service and Cost Centre Managers to ensure that the budget is on target or variations are reported and acted upon at an early stage. Monthly monitoring reports are considered by Heads of Service at the Council’s Operational Delivery Group and Corporate Management Team </w:t>
      </w:r>
      <w:r w:rsidR="0027316D" w:rsidRPr="002630C3">
        <w:t xml:space="preserve">with quarterly updates presented to </w:t>
      </w:r>
      <w:r w:rsidRPr="002630C3">
        <w:t xml:space="preserve">Cabinet. </w:t>
      </w:r>
    </w:p>
    <w:p w:rsidR="00150DF7" w:rsidRPr="002630C3" w:rsidRDefault="005A3124" w:rsidP="004F7E55">
      <w:pPr>
        <w:pStyle w:val="bParagraphtext"/>
        <w:numPr>
          <w:ilvl w:val="0"/>
          <w:numId w:val="10"/>
        </w:numPr>
        <w:ind w:left="426" w:hanging="426"/>
      </w:pPr>
      <w:r w:rsidRPr="002630C3">
        <w:t xml:space="preserve">The Council has established a Project Management Office to oversee and undertake project management of projects within the Council’s Capital Programme. </w:t>
      </w:r>
      <w:r w:rsidRPr="002630C3">
        <w:lastRenderedPageBreak/>
        <w:t>Potential projects are subject to more rigour and resources are spent on establishing the feasibility and outline business case before a bid is made through Cabinet and Council for budget approval of funds to carry out the project.</w:t>
      </w:r>
    </w:p>
    <w:p w:rsidR="0014456E" w:rsidRPr="00D43B9F" w:rsidRDefault="0014456E" w:rsidP="0014456E">
      <w:pPr>
        <w:pStyle w:val="bParagraphtext"/>
        <w:ind w:left="426"/>
        <w:rPr>
          <w:highlight w:val="yellow"/>
        </w:rPr>
      </w:pPr>
    </w:p>
    <w:p w:rsidR="00150DF7" w:rsidRPr="000A4BC5" w:rsidRDefault="00150DF7" w:rsidP="00BC5EA3">
      <w:pPr>
        <w:pStyle w:val="Heading1"/>
      </w:pPr>
      <w:r w:rsidRPr="000A4BC5">
        <w:t xml:space="preserve">General Fund Assumptions </w:t>
      </w:r>
    </w:p>
    <w:p w:rsidR="005A3124" w:rsidRPr="002630C3" w:rsidRDefault="005A3124" w:rsidP="004F7E55">
      <w:pPr>
        <w:pStyle w:val="bParagraphtext"/>
        <w:numPr>
          <w:ilvl w:val="0"/>
          <w:numId w:val="10"/>
        </w:numPr>
        <w:ind w:left="426" w:hanging="426"/>
      </w:pPr>
      <w:r w:rsidRPr="002630C3">
        <w:t>Assumptions on which the four year MTFS are based are contained within the main budget report presented elsewhere on the agenda, howeve</w:t>
      </w:r>
      <w:r w:rsidR="00CB7331" w:rsidRPr="002630C3">
        <w:t>r, the key assumptions include:</w:t>
      </w:r>
    </w:p>
    <w:p w:rsidR="005A3124" w:rsidRPr="00F6519D" w:rsidRDefault="005A3124" w:rsidP="00E4501F">
      <w:pPr>
        <w:pStyle w:val="Bulletpoints"/>
        <w:tabs>
          <w:tab w:val="clear" w:pos="1134"/>
        </w:tabs>
        <w:ind w:left="1080" w:hanging="654"/>
      </w:pPr>
      <w:r w:rsidRPr="00F6519D">
        <w:rPr>
          <w:b/>
        </w:rPr>
        <w:t>Council Tax increase</w:t>
      </w:r>
      <w:r w:rsidRPr="00F6519D">
        <w:t>- The assumed Council Tax increase is 1.99% per annum for 202</w:t>
      </w:r>
      <w:r w:rsidR="002630C3" w:rsidRPr="00F6519D">
        <w:t>2</w:t>
      </w:r>
      <w:r w:rsidRPr="00F6519D">
        <w:t>-2</w:t>
      </w:r>
      <w:r w:rsidR="002630C3" w:rsidRPr="00F6519D">
        <w:t>3</w:t>
      </w:r>
      <w:r w:rsidRPr="00F6519D">
        <w:t xml:space="preserve"> with 1.99% thereafter.  This is below the referendum level for 202</w:t>
      </w:r>
      <w:r w:rsidR="002630C3" w:rsidRPr="00F6519D">
        <w:t>2</w:t>
      </w:r>
      <w:r w:rsidRPr="00F6519D">
        <w:t>/2</w:t>
      </w:r>
      <w:r w:rsidR="002630C3" w:rsidRPr="00F6519D">
        <w:t>3</w:t>
      </w:r>
      <w:r w:rsidRPr="00F6519D">
        <w:t>.</w:t>
      </w:r>
    </w:p>
    <w:p w:rsidR="00ED6AD1" w:rsidRPr="00F6519D" w:rsidRDefault="00ED6AD1" w:rsidP="00E4501F">
      <w:pPr>
        <w:pStyle w:val="Bulletpoints"/>
        <w:tabs>
          <w:tab w:val="clear" w:pos="1134"/>
        </w:tabs>
        <w:ind w:left="1080" w:hanging="654"/>
      </w:pPr>
      <w:r w:rsidRPr="00F6519D">
        <w:rPr>
          <w:b/>
        </w:rPr>
        <w:t xml:space="preserve">Income Streams </w:t>
      </w:r>
      <w:r w:rsidRPr="00F6519D">
        <w:t xml:space="preserve">– income streams especially those </w:t>
      </w:r>
      <w:r w:rsidR="0027316D" w:rsidRPr="00F6519D">
        <w:t>susceptible</w:t>
      </w:r>
      <w:r w:rsidRPr="00F6519D">
        <w:t xml:space="preserve"> to reduction from COVID related issues have been budgeted prudently. </w:t>
      </w:r>
      <w:r w:rsidR="000A4BC5" w:rsidRPr="00F6519D">
        <w:t xml:space="preserve">There is still optimism that car parking income will at least return to pre Covid levels in 2022-23 whilst town hall lettings although showing positive signs will take another 12 months to do so and commercial rent income even at their maximum level are estimated to be £2million below the base budget </w:t>
      </w:r>
      <w:r w:rsidRPr="00F6519D">
        <w:t xml:space="preserve">for a number of years to come </w:t>
      </w:r>
    </w:p>
    <w:p w:rsidR="005A3124" w:rsidRPr="00F6519D" w:rsidRDefault="005A3124" w:rsidP="00E4501F">
      <w:pPr>
        <w:pStyle w:val="Bulletpoints"/>
        <w:tabs>
          <w:tab w:val="clear" w:pos="1134"/>
        </w:tabs>
        <w:ind w:left="1080" w:hanging="654"/>
      </w:pPr>
      <w:r w:rsidRPr="00F6519D">
        <w:rPr>
          <w:b/>
        </w:rPr>
        <w:t>Investment Interest</w:t>
      </w:r>
      <w:r w:rsidRPr="00F6519D">
        <w:t xml:space="preserve"> – The Bank of England </w:t>
      </w:r>
      <w:r w:rsidR="000A4BC5" w:rsidRPr="00F6519D">
        <w:t xml:space="preserve">raised </w:t>
      </w:r>
      <w:r w:rsidRPr="00F6519D">
        <w:t>base rate</w:t>
      </w:r>
      <w:r w:rsidR="000A4BC5" w:rsidRPr="00F6519D">
        <w:t>s</w:t>
      </w:r>
      <w:r w:rsidRPr="00F6519D">
        <w:t xml:space="preserve"> </w:t>
      </w:r>
      <w:r w:rsidR="000A4BC5" w:rsidRPr="00F6519D">
        <w:t xml:space="preserve">to </w:t>
      </w:r>
      <w:r w:rsidRPr="00F6519D">
        <w:t>0.</w:t>
      </w:r>
      <w:r w:rsidR="000A4BC5" w:rsidRPr="00F6519D">
        <w:t>25</w:t>
      </w:r>
      <w:r w:rsidR="00ED6AD1" w:rsidRPr="00F6519D">
        <w:t>% and is estimated to be at this rate for some time to come leading to reduced investment income return</w:t>
      </w:r>
    </w:p>
    <w:p w:rsidR="005A3124" w:rsidRPr="00F6519D" w:rsidRDefault="005A3124" w:rsidP="00E4501F">
      <w:pPr>
        <w:pStyle w:val="Bulletpoints"/>
        <w:tabs>
          <w:tab w:val="clear" w:pos="1134"/>
        </w:tabs>
        <w:ind w:left="1080" w:hanging="654"/>
      </w:pPr>
      <w:r w:rsidRPr="00F6519D">
        <w:rPr>
          <w:b/>
        </w:rPr>
        <w:t>External</w:t>
      </w:r>
      <w:r w:rsidR="00664A87" w:rsidRPr="00F6519D">
        <w:rPr>
          <w:b/>
        </w:rPr>
        <w:t>ly</w:t>
      </w:r>
      <w:r w:rsidRPr="00F6519D">
        <w:rPr>
          <w:b/>
        </w:rPr>
        <w:t xml:space="preserve"> Managed Property Investments</w:t>
      </w:r>
      <w:r w:rsidRPr="00F6519D">
        <w:t xml:space="preserve"> – The Council has £10 million invested in two funds. The Council makes a return of around 3.5% per annum plus any increase in the capital value.</w:t>
      </w:r>
      <w:r w:rsidR="00F4129A" w:rsidRPr="00F6519D">
        <w:t xml:space="preserve"> Although there has been some </w:t>
      </w:r>
      <w:r w:rsidR="003A5206" w:rsidRPr="00F6519D">
        <w:t>reduction</w:t>
      </w:r>
      <w:r w:rsidR="00F4129A" w:rsidRPr="00F6519D">
        <w:t xml:space="preserve"> in the capital value of such investments, there are signs of them increasing</w:t>
      </w:r>
      <w:r w:rsidR="000A4BC5" w:rsidRPr="00F6519D">
        <w:t xml:space="preserve"> beyond pre pandemic levels.</w:t>
      </w:r>
      <w:r w:rsidR="00F4129A" w:rsidRPr="00F6519D">
        <w:t xml:space="preserve">. The dividend </w:t>
      </w:r>
      <w:r w:rsidR="003A5206" w:rsidRPr="00F6519D">
        <w:t>returns</w:t>
      </w:r>
      <w:r w:rsidR="00F4129A" w:rsidRPr="00F6519D">
        <w:t xml:space="preserve"> (der</w:t>
      </w:r>
      <w:r w:rsidR="003A5206" w:rsidRPr="00F6519D">
        <w:t>ived from rentals) has been steady even in recent times and there are no grounds to assume this will not continue</w:t>
      </w:r>
      <w:r w:rsidR="000A4BC5" w:rsidRPr="00F6519D">
        <w:t>. As such the Council will invest another £5million in such funds due to the current higher yield that this brings.</w:t>
      </w:r>
    </w:p>
    <w:p w:rsidR="005A3124" w:rsidRPr="00F6519D" w:rsidRDefault="005A3124" w:rsidP="00E4501F">
      <w:pPr>
        <w:pStyle w:val="Bulletpoints"/>
        <w:tabs>
          <w:tab w:val="clear" w:pos="1134"/>
        </w:tabs>
        <w:ind w:left="1080" w:hanging="654"/>
      </w:pPr>
      <w:r w:rsidRPr="00F6519D">
        <w:rPr>
          <w:b/>
        </w:rPr>
        <w:t>OxWed Development</w:t>
      </w:r>
      <w:r w:rsidRPr="00F6519D">
        <w:t xml:space="preserve"> – The Council has made loans of approximately £1</w:t>
      </w:r>
      <w:r w:rsidR="00AF68B6">
        <w:t>2</w:t>
      </w:r>
      <w:r w:rsidRPr="00F6519D">
        <w:t>.</w:t>
      </w:r>
      <w:r w:rsidR="00AF68B6">
        <w:t>2</w:t>
      </w:r>
      <w:r w:rsidRPr="00F6519D">
        <w:t xml:space="preserve"> million into its 50/50 Joint venture with Nuffield College which attracts a return of 6.5% per annum</w:t>
      </w:r>
      <w:r w:rsidR="000A4BC5" w:rsidRPr="00F6519D">
        <w:t>. The delivery vehicle has recently changed from a joint venture to a Limited Liability Partnership (LLP) due to tax advantages that will be obtai</w:t>
      </w:r>
      <w:r w:rsidR="00F6519D" w:rsidRPr="00F6519D">
        <w:t>ned on</w:t>
      </w:r>
      <w:r w:rsidR="000A4BC5" w:rsidRPr="00F6519D">
        <w:t xml:space="preserve"> future </w:t>
      </w:r>
      <w:r w:rsidR="00F6519D" w:rsidRPr="00F6519D">
        <w:t xml:space="preserve">financial </w:t>
      </w:r>
      <w:r w:rsidR="000A4BC5" w:rsidRPr="00F6519D">
        <w:t xml:space="preserve">returns and is now </w:t>
      </w:r>
      <w:r w:rsidR="00F6519D" w:rsidRPr="00F6519D">
        <w:t>preparing</w:t>
      </w:r>
      <w:r w:rsidR="000A4BC5" w:rsidRPr="00F6519D">
        <w:t xml:space="preserve"> to submit the land for planning approval. Returns from </w:t>
      </w:r>
      <w:r w:rsidR="00F6519D" w:rsidRPr="00F6519D">
        <w:t>loan</w:t>
      </w:r>
      <w:r w:rsidR="000A4BC5" w:rsidRPr="00F6519D">
        <w:t xml:space="preserve"> interest </w:t>
      </w:r>
      <w:r w:rsidR="00F6519D" w:rsidRPr="00F6519D">
        <w:t xml:space="preserve">will continue for the foreseeable </w:t>
      </w:r>
      <w:r w:rsidR="000A4BC5" w:rsidRPr="00F6519D">
        <w:t>future after which a significant return can reasonably exp</w:t>
      </w:r>
      <w:r w:rsidR="00F6519D" w:rsidRPr="00F6519D">
        <w:t>e</w:t>
      </w:r>
      <w:r w:rsidR="000A4BC5" w:rsidRPr="00F6519D">
        <w:t>cted perha</w:t>
      </w:r>
      <w:r w:rsidR="00F6519D" w:rsidRPr="00F6519D">
        <w:t>p</w:t>
      </w:r>
      <w:r w:rsidR="000A4BC5" w:rsidRPr="00F6519D">
        <w:t>s as early as 20</w:t>
      </w:r>
      <w:r w:rsidR="00F6519D" w:rsidRPr="00F6519D">
        <w:t>26-27 i.e year 5 of the MTFP</w:t>
      </w:r>
      <w:r w:rsidR="000A4BC5" w:rsidRPr="00F6519D">
        <w:t xml:space="preserve"> </w:t>
      </w:r>
      <w:r w:rsidR="003A5206" w:rsidRPr="00F6519D">
        <w:t xml:space="preserve"> </w:t>
      </w:r>
    </w:p>
    <w:p w:rsidR="003A5206" w:rsidRPr="00F6519D" w:rsidRDefault="003A5206" w:rsidP="00E4501F">
      <w:pPr>
        <w:pStyle w:val="Bulletpoints"/>
        <w:tabs>
          <w:tab w:val="clear" w:pos="1134"/>
        </w:tabs>
        <w:ind w:left="1080" w:hanging="654"/>
      </w:pPr>
      <w:r w:rsidRPr="00F6519D">
        <w:rPr>
          <w:b/>
        </w:rPr>
        <w:t>Oxford Direct Services Ltd -</w:t>
      </w:r>
      <w:r w:rsidRPr="00F6519D">
        <w:t xml:space="preserve">  </w:t>
      </w:r>
      <w:r w:rsidR="00F6519D" w:rsidRPr="00F6519D">
        <w:t xml:space="preserve">Although the </w:t>
      </w:r>
      <w:r w:rsidRPr="00F6519D">
        <w:t xml:space="preserve">ODS </w:t>
      </w:r>
      <w:r w:rsidR="00F6519D" w:rsidRPr="00F6519D">
        <w:t>has been adjusted downwards from previous projections as a result of COVID 19 going</w:t>
      </w:r>
      <w:r w:rsidRPr="00F6519D">
        <w:t xml:space="preserve"> forward there is an expectation that this </w:t>
      </w:r>
      <w:r w:rsidR="00F6519D" w:rsidRPr="00F6519D">
        <w:t xml:space="preserve">will </w:t>
      </w:r>
      <w:r w:rsidRPr="00F6519D">
        <w:t xml:space="preserve">gradually </w:t>
      </w:r>
      <w:r w:rsidR="00F6519D" w:rsidRPr="00F6519D">
        <w:t>p</w:t>
      </w:r>
      <w:r w:rsidRPr="00F6519D">
        <w:t>ick back up</w:t>
      </w:r>
      <w:r w:rsidR="00F6519D" w:rsidRPr="00F6519D">
        <w:t xml:space="preserve"> as new business is secured. The company has yet to declare a dividend for 2020-21 although this will be considered at the company board in </w:t>
      </w:r>
      <w:r w:rsidR="00AF68B6" w:rsidRPr="00F6519D">
        <w:t>February</w:t>
      </w:r>
      <w:r w:rsidRPr="00F6519D">
        <w:t xml:space="preserve">. </w:t>
      </w:r>
      <w:r w:rsidR="00AF68B6">
        <w:t>Company returns to the Council over the MTFS are estimated at £12 million.</w:t>
      </w:r>
    </w:p>
    <w:p w:rsidR="003A5206" w:rsidRPr="00AF68B6" w:rsidRDefault="003A5206" w:rsidP="00E4501F">
      <w:pPr>
        <w:pStyle w:val="Bulletpoints"/>
        <w:tabs>
          <w:tab w:val="clear" w:pos="1134"/>
        </w:tabs>
        <w:ind w:left="1080" w:hanging="654"/>
      </w:pPr>
      <w:r w:rsidRPr="00AF68B6">
        <w:rPr>
          <w:b/>
        </w:rPr>
        <w:t xml:space="preserve">Oxford City Housing Ltd </w:t>
      </w:r>
      <w:r w:rsidRPr="00AF68B6">
        <w:t xml:space="preserve">– (OCHL) -Work programmes within OCHL have </w:t>
      </w:r>
      <w:r w:rsidR="00AF68B6" w:rsidRPr="00AF68B6">
        <w:t xml:space="preserve">were </w:t>
      </w:r>
      <w:r w:rsidRPr="00AF68B6">
        <w:t xml:space="preserve">disrupted by between 4-9 months </w:t>
      </w:r>
      <w:r w:rsidR="00AF68B6" w:rsidRPr="00AF68B6">
        <w:t xml:space="preserve">in 2020-21 and subsequent revisions </w:t>
      </w:r>
      <w:r w:rsidR="00AF68B6" w:rsidRPr="00AF68B6">
        <w:lastRenderedPageBreak/>
        <w:t xml:space="preserve">of the business plan have taken this into account. Returns from the Company are expected to be around £27million over the MTFS with £12m coming from dividends and the remainder from interest on loans advanced to it by the council. </w:t>
      </w:r>
      <w:r w:rsidRPr="00AF68B6">
        <w:t xml:space="preserve">   </w:t>
      </w:r>
    </w:p>
    <w:p w:rsidR="005A3124" w:rsidRPr="00944658" w:rsidRDefault="003A5206" w:rsidP="00E4501F">
      <w:pPr>
        <w:pStyle w:val="Bulletpoints"/>
        <w:tabs>
          <w:tab w:val="clear" w:pos="1134"/>
        </w:tabs>
        <w:ind w:left="1080" w:hanging="654"/>
      </w:pPr>
      <w:r w:rsidRPr="00944658">
        <w:rPr>
          <w:b/>
        </w:rPr>
        <w:t xml:space="preserve">Borrowing </w:t>
      </w:r>
      <w:r w:rsidR="00FD575A" w:rsidRPr="00944658">
        <w:rPr>
          <w:b/>
        </w:rPr>
        <w:t>–</w:t>
      </w:r>
      <w:r w:rsidRPr="00944658">
        <w:rPr>
          <w:b/>
        </w:rPr>
        <w:t xml:space="preserve"> </w:t>
      </w:r>
      <w:r w:rsidR="00FD575A" w:rsidRPr="00944658">
        <w:t>The Councils Capital Finance Requirement (CFR) representing the underlying need to borrow to finance the capital programme over the MTFS will increase from £28</w:t>
      </w:r>
      <w:r w:rsidR="00944658" w:rsidRPr="00944658">
        <w:t>9</w:t>
      </w:r>
      <w:r w:rsidR="00FD575A" w:rsidRPr="00944658">
        <w:t xml:space="preserve"> million to around £6</w:t>
      </w:r>
      <w:r w:rsidR="00944658" w:rsidRPr="00944658">
        <w:t>7</w:t>
      </w:r>
      <w:r w:rsidR="00FD575A" w:rsidRPr="00944658">
        <w:t>2m (</w:t>
      </w:r>
      <w:r w:rsidR="005A3124" w:rsidRPr="00944658">
        <w:t>H</w:t>
      </w:r>
      <w:r w:rsidR="00FD575A" w:rsidRPr="00944658">
        <w:t>RA £4</w:t>
      </w:r>
      <w:r w:rsidR="00944658" w:rsidRPr="00944658">
        <w:t>88</w:t>
      </w:r>
      <w:r w:rsidR="00FD575A" w:rsidRPr="00944658">
        <w:t>/ General Fund £</w:t>
      </w:r>
      <w:r w:rsidR="00944658" w:rsidRPr="00944658">
        <w:t>184</w:t>
      </w:r>
      <w:r w:rsidR="00FD575A" w:rsidRPr="00944658">
        <w:t>m). External debt will increase from £198milion to around £5</w:t>
      </w:r>
      <w:r w:rsidR="00944658" w:rsidRPr="00944658">
        <w:t xml:space="preserve">72 </w:t>
      </w:r>
      <w:r w:rsidR="00FD575A" w:rsidRPr="00944658">
        <w:t>million over the same period</w:t>
      </w:r>
      <w:r w:rsidR="005A3124" w:rsidRPr="00944658">
        <w:t xml:space="preserve">. </w:t>
      </w:r>
      <w:r w:rsidR="00944658">
        <w:t xml:space="preserve">A </w:t>
      </w:r>
      <w:r w:rsidR="00FD575A" w:rsidRPr="00944658">
        <w:t>provision has been made within the General Fund and the HRA for financing costs including the Minimum Revenue Provision (MRP) in accordan</w:t>
      </w:r>
      <w:r w:rsidR="00944658">
        <w:t>ce with the Councils MRP policy although it should be noted that there is a Government consultation on the issue which doesn’t end until the 10</w:t>
      </w:r>
      <w:r w:rsidR="00944658" w:rsidRPr="00944658">
        <w:rPr>
          <w:vertAlign w:val="superscript"/>
        </w:rPr>
        <w:t>th</w:t>
      </w:r>
      <w:r w:rsidR="00944658">
        <w:t xml:space="preserve"> February which will vary this estimate. </w:t>
      </w:r>
      <w:r w:rsidR="00FD575A" w:rsidRPr="00944658">
        <w:t xml:space="preserve"> </w:t>
      </w:r>
    </w:p>
    <w:p w:rsidR="005A3124" w:rsidRPr="00F6519D" w:rsidRDefault="005A3124" w:rsidP="00E4501F">
      <w:pPr>
        <w:pStyle w:val="Bulletpoints"/>
        <w:tabs>
          <w:tab w:val="clear" w:pos="1134"/>
        </w:tabs>
        <w:ind w:left="1080" w:hanging="654"/>
      </w:pPr>
      <w:r w:rsidRPr="00F6519D">
        <w:rPr>
          <w:b/>
        </w:rPr>
        <w:t>Retained Business Rates</w:t>
      </w:r>
      <w:r w:rsidRPr="00F6519D">
        <w:t xml:space="preserve"> – The MTFS includes estimates of the amount of Retained Business Rates income for the authority, based on the Government’s indication of tariffs and baseline income for 202</w:t>
      </w:r>
      <w:r w:rsidR="00F6519D" w:rsidRPr="00F6519D">
        <w:t>2</w:t>
      </w:r>
      <w:r w:rsidRPr="00F6519D">
        <w:t>-2</w:t>
      </w:r>
      <w:r w:rsidR="00F6519D" w:rsidRPr="00F6519D">
        <w:t>3</w:t>
      </w:r>
      <w:r w:rsidRPr="00F6519D">
        <w:t xml:space="preserve">. </w:t>
      </w:r>
      <w:r w:rsidR="00F6519D" w:rsidRPr="00F6519D">
        <w:t xml:space="preserve">The </w:t>
      </w:r>
      <w:r w:rsidR="00F6519D">
        <w:t>Government h</w:t>
      </w:r>
      <w:r w:rsidR="00F6519D" w:rsidRPr="00F6519D">
        <w:t xml:space="preserve">as only given </w:t>
      </w:r>
      <w:r w:rsidR="00F6519D">
        <w:t xml:space="preserve">funding figures </w:t>
      </w:r>
      <w:r w:rsidR="00F6519D" w:rsidRPr="00F6519D">
        <w:t>for 1 year,</w:t>
      </w:r>
      <w:r w:rsidR="00F6519D">
        <w:t xml:space="preserve"> </w:t>
      </w:r>
      <w:r w:rsidR="00F6519D" w:rsidRPr="00F6519D">
        <w:t>2022-23 and there is still significant uncertainty around this area of income in respect of fairer funding and the business rates reset which are anticipated to be implemented in 2023-24</w:t>
      </w:r>
      <w:r w:rsidR="00F4129A" w:rsidRPr="00F6519D">
        <w:t>.</w:t>
      </w:r>
    </w:p>
    <w:p w:rsidR="00F4129A" w:rsidRPr="00F6519D" w:rsidRDefault="005A3124" w:rsidP="004F7E55">
      <w:pPr>
        <w:pStyle w:val="ListParagraph"/>
        <w:numPr>
          <w:ilvl w:val="0"/>
          <w:numId w:val="7"/>
        </w:numPr>
        <w:tabs>
          <w:tab w:val="clear" w:pos="426"/>
        </w:tabs>
        <w:spacing w:after="0"/>
        <w:ind w:left="1080" w:hanging="654"/>
        <w:rPr>
          <w:rFonts w:asciiTheme="minorHAnsi" w:hAnsiTheme="minorHAnsi" w:cstheme="minorHAnsi"/>
        </w:rPr>
      </w:pPr>
      <w:r w:rsidRPr="00F6519D">
        <w:rPr>
          <w:b/>
        </w:rPr>
        <w:t>Pay Assumptions</w:t>
      </w:r>
      <w:r w:rsidRPr="00F6519D">
        <w:t xml:space="preserve"> – </w:t>
      </w:r>
      <w:r w:rsidR="00F6519D" w:rsidRPr="00F6519D">
        <w:t xml:space="preserve">The Council has recently negotiated a two year pay settlement commencing with staff and trade unions from 1 </w:t>
      </w:r>
      <w:r w:rsidRPr="00F6519D">
        <w:t>April 202</w:t>
      </w:r>
      <w:r w:rsidR="00F6519D" w:rsidRPr="00F6519D">
        <w:t>2</w:t>
      </w:r>
      <w:r w:rsidRPr="00F6519D">
        <w:t xml:space="preserve"> </w:t>
      </w:r>
      <w:r w:rsidR="00F6519D" w:rsidRPr="00F6519D">
        <w:t xml:space="preserve">of 2% followed by 2.5% the following year. </w:t>
      </w:r>
      <w:r w:rsidR="003A5206" w:rsidRPr="00F6519D">
        <w:rPr>
          <w:rFonts w:cs="Arial"/>
        </w:rPr>
        <w:t>Inflationary rises have been allowed for in the MTFS going forward</w:t>
      </w:r>
    </w:p>
    <w:p w:rsidR="00E4501F" w:rsidRPr="00F6519D" w:rsidRDefault="00E4501F" w:rsidP="00E4501F">
      <w:pPr>
        <w:pStyle w:val="ListParagraph"/>
        <w:tabs>
          <w:tab w:val="clear" w:pos="426"/>
        </w:tabs>
        <w:spacing w:after="0"/>
        <w:ind w:left="1080"/>
        <w:rPr>
          <w:rFonts w:asciiTheme="minorHAnsi" w:hAnsiTheme="minorHAnsi" w:cstheme="minorHAnsi"/>
        </w:rPr>
      </w:pPr>
    </w:p>
    <w:p w:rsidR="005A3124" w:rsidRPr="00F6519D" w:rsidRDefault="005A3124" w:rsidP="00E4501F">
      <w:pPr>
        <w:pStyle w:val="Bulletpoints"/>
        <w:tabs>
          <w:tab w:val="clear" w:pos="1134"/>
        </w:tabs>
        <w:ind w:left="1080" w:hanging="654"/>
      </w:pPr>
      <w:r w:rsidRPr="00F6519D">
        <w:rPr>
          <w:b/>
        </w:rPr>
        <w:t>Inflation</w:t>
      </w:r>
      <w:r w:rsidRPr="00F6519D">
        <w:t xml:space="preserve"> – With the exception of contractual inflation e.g. Leisure contract and ICT maintenance contracts and pay budgets all other budgets are cash limited.</w:t>
      </w:r>
    </w:p>
    <w:p w:rsidR="005A3124" w:rsidRPr="00F6519D" w:rsidRDefault="005A3124" w:rsidP="00E4501F">
      <w:pPr>
        <w:pStyle w:val="Bulletpoints"/>
        <w:tabs>
          <w:tab w:val="clear" w:pos="1134"/>
        </w:tabs>
        <w:ind w:left="1080" w:hanging="654"/>
      </w:pPr>
      <w:r w:rsidRPr="00F6519D">
        <w:rPr>
          <w:b/>
        </w:rPr>
        <w:t>Contingencies and Provisions</w:t>
      </w:r>
      <w:r w:rsidRPr="00F6519D">
        <w:t xml:space="preserve"> - Contingencies </w:t>
      </w:r>
      <w:r w:rsidR="00F4129A" w:rsidRPr="00F6519D">
        <w:t xml:space="preserve">have been provided for at </w:t>
      </w:r>
      <w:r w:rsidR="00F6519D" w:rsidRPr="00F6519D">
        <w:t xml:space="preserve">around </w:t>
      </w:r>
      <w:r w:rsidR="00F4129A" w:rsidRPr="00F6519D">
        <w:t>£</w:t>
      </w:r>
      <w:r w:rsidR="00F6519D" w:rsidRPr="00F6519D">
        <w:t>6</w:t>
      </w:r>
      <w:r w:rsidR="00F4129A" w:rsidRPr="00F6519D">
        <w:t>00k per annum. This is deemed to be adequate to cushion the revenue account against p</w:t>
      </w:r>
      <w:r w:rsidRPr="00F6519D">
        <w:t>otential shortfalls in efficiency savings</w:t>
      </w:r>
      <w:r w:rsidR="00F4129A" w:rsidRPr="00F6519D">
        <w:t xml:space="preserve"> and</w:t>
      </w:r>
      <w:r w:rsidRPr="00F6519D">
        <w:t xml:space="preserve"> </w:t>
      </w:r>
      <w:r w:rsidR="00F4129A" w:rsidRPr="00F6519D">
        <w:t>additional in</w:t>
      </w:r>
      <w:r w:rsidRPr="00F6519D">
        <w:t xml:space="preserve">come </w:t>
      </w:r>
      <w:r w:rsidR="00F4129A" w:rsidRPr="00F6519D">
        <w:t xml:space="preserve">as well as shortfalls in returns from the Councils wholly owned companies arising from </w:t>
      </w:r>
      <w:r w:rsidR="00354F6A" w:rsidRPr="00F6519D">
        <w:t>non-performance</w:t>
      </w:r>
      <w:r w:rsidR="00F4129A" w:rsidRPr="00F6519D">
        <w:t>.</w:t>
      </w:r>
      <w:r w:rsidRPr="00F6519D">
        <w:t xml:space="preserve"> </w:t>
      </w:r>
    </w:p>
    <w:p w:rsidR="00706293" w:rsidRPr="00D43B9F" w:rsidRDefault="00706293" w:rsidP="0014456E">
      <w:pPr>
        <w:pStyle w:val="Bulletpoints"/>
        <w:numPr>
          <w:ilvl w:val="0"/>
          <w:numId w:val="0"/>
        </w:numPr>
        <w:ind w:left="1080"/>
        <w:rPr>
          <w:highlight w:val="yellow"/>
        </w:rPr>
      </w:pPr>
    </w:p>
    <w:p w:rsidR="00150DF7" w:rsidRPr="002630C3" w:rsidRDefault="00150DF7" w:rsidP="00BC5EA3">
      <w:pPr>
        <w:pStyle w:val="Heading1"/>
      </w:pPr>
      <w:r w:rsidRPr="002630C3">
        <w:t>Housing Revenue Account (HRA) Assumptions</w:t>
      </w:r>
    </w:p>
    <w:p w:rsidR="00CB7331" w:rsidRPr="002630C3" w:rsidRDefault="00CB7331" w:rsidP="004F7E55">
      <w:pPr>
        <w:pStyle w:val="bParagraphtext"/>
        <w:numPr>
          <w:ilvl w:val="0"/>
          <w:numId w:val="10"/>
        </w:numPr>
        <w:tabs>
          <w:tab w:val="clear" w:pos="426"/>
        </w:tabs>
        <w:ind w:left="426" w:hanging="426"/>
      </w:pPr>
      <w:r w:rsidRPr="002630C3">
        <w:t xml:space="preserve">The Scrutiny of the HRA budget and Business Plan has followed a similar process to that for the General Fund outlined above. </w:t>
      </w:r>
    </w:p>
    <w:p w:rsidR="00CB7331" w:rsidRPr="002630C3" w:rsidRDefault="00CB7331" w:rsidP="004F7E55">
      <w:pPr>
        <w:pStyle w:val="bParagraphtext"/>
        <w:numPr>
          <w:ilvl w:val="0"/>
          <w:numId w:val="10"/>
        </w:numPr>
        <w:ind w:hanging="3240"/>
      </w:pPr>
      <w:r w:rsidRPr="002630C3">
        <w:t xml:space="preserve">Key assumptions in the HRA budget include: </w:t>
      </w:r>
    </w:p>
    <w:p w:rsidR="00CB7331" w:rsidRPr="002630C3" w:rsidRDefault="00CB7331" w:rsidP="00E4501F">
      <w:pPr>
        <w:pStyle w:val="Bulletpoints"/>
        <w:ind w:hanging="708"/>
        <w:rPr>
          <w:b/>
        </w:rPr>
      </w:pPr>
      <w:r w:rsidRPr="002630C3">
        <w:rPr>
          <w:b/>
        </w:rPr>
        <w:t xml:space="preserve">Rent Setting </w:t>
      </w:r>
    </w:p>
    <w:p w:rsidR="00CB7331" w:rsidRPr="00944658" w:rsidRDefault="00CB7331" w:rsidP="00E4501F">
      <w:pPr>
        <w:pStyle w:val="Bulletpoints"/>
        <w:numPr>
          <w:ilvl w:val="0"/>
          <w:numId w:val="0"/>
        </w:numPr>
        <w:ind w:left="1134"/>
      </w:pPr>
      <w:r w:rsidRPr="002630C3">
        <w:t>For 202</w:t>
      </w:r>
      <w:r w:rsidR="002630C3" w:rsidRPr="002630C3">
        <w:t>2</w:t>
      </w:r>
      <w:r w:rsidRPr="002630C3">
        <w:t>/2</w:t>
      </w:r>
      <w:r w:rsidR="002630C3" w:rsidRPr="002630C3">
        <w:t>3</w:t>
      </w:r>
      <w:r w:rsidRPr="002630C3">
        <w:t xml:space="preserve"> the Consumer Price Index (CPI) rate </w:t>
      </w:r>
      <w:r w:rsidR="002630C3" w:rsidRPr="002630C3">
        <w:t>was 3.1</w:t>
      </w:r>
      <w:r w:rsidRPr="002630C3">
        <w:t xml:space="preserve">% </w:t>
      </w:r>
      <w:r w:rsidR="002630C3" w:rsidRPr="002630C3">
        <w:t xml:space="preserve">in Septmeber </w:t>
      </w:r>
      <w:r w:rsidRPr="002630C3">
        <w:t xml:space="preserve">and hence </w:t>
      </w:r>
      <w:r w:rsidR="002630C3" w:rsidRPr="002630C3">
        <w:t xml:space="preserve">in line with Government policy of CPI +1%, </w:t>
      </w:r>
      <w:r w:rsidRPr="002630C3">
        <w:t xml:space="preserve">council house rents are estimated to increase by </w:t>
      </w:r>
      <w:r w:rsidR="002630C3" w:rsidRPr="002630C3">
        <w:t>4.1</w:t>
      </w:r>
      <w:r w:rsidRPr="002630C3">
        <w:t>% from 20</w:t>
      </w:r>
      <w:r w:rsidR="00695557" w:rsidRPr="002630C3">
        <w:t>2</w:t>
      </w:r>
      <w:r w:rsidR="002630C3" w:rsidRPr="002630C3">
        <w:t>1</w:t>
      </w:r>
      <w:r w:rsidRPr="002630C3">
        <w:t>-2</w:t>
      </w:r>
      <w:r w:rsidR="002630C3" w:rsidRPr="002630C3">
        <w:t>2</w:t>
      </w:r>
      <w:r w:rsidRPr="002630C3">
        <w:t xml:space="preserve"> levels, with 3% increases </w:t>
      </w:r>
      <w:r w:rsidRPr="00944658">
        <w:t xml:space="preserve">estimated for future years. </w:t>
      </w:r>
    </w:p>
    <w:p w:rsidR="00CB7331" w:rsidRPr="00944658" w:rsidRDefault="00CB7331" w:rsidP="00E4501F">
      <w:pPr>
        <w:pStyle w:val="Bulletpoints"/>
        <w:ind w:hanging="708"/>
        <w:rPr>
          <w:b/>
        </w:rPr>
      </w:pPr>
      <w:r w:rsidRPr="00944658">
        <w:rPr>
          <w:b/>
        </w:rPr>
        <w:t xml:space="preserve">Debt Management Strategy </w:t>
      </w:r>
    </w:p>
    <w:p w:rsidR="00CB7331" w:rsidRPr="00D43B9F" w:rsidRDefault="00CB7331" w:rsidP="00E4501F">
      <w:pPr>
        <w:pStyle w:val="Bulletpoints"/>
        <w:numPr>
          <w:ilvl w:val="0"/>
          <w:numId w:val="0"/>
        </w:numPr>
        <w:ind w:left="1134"/>
        <w:rPr>
          <w:highlight w:val="yellow"/>
        </w:rPr>
      </w:pPr>
      <w:r w:rsidRPr="00944658">
        <w:lastRenderedPageBreak/>
        <w:t>Loan debt over the next 4 years increases from £198 million to £</w:t>
      </w:r>
      <w:r w:rsidR="00695557" w:rsidRPr="00944658">
        <w:t>4</w:t>
      </w:r>
      <w:r w:rsidR="00944658" w:rsidRPr="00944658">
        <w:t>94</w:t>
      </w:r>
      <w:r w:rsidRPr="00944658">
        <w:t xml:space="preserve"> million </w:t>
      </w:r>
      <w:r w:rsidR="00944658" w:rsidRPr="00944658">
        <w:t xml:space="preserve">peak debt in 2028-29 </w:t>
      </w:r>
      <w:r w:rsidRPr="00944658">
        <w:t>to accommodate the purchase of affordable housing from the Housing Company.</w:t>
      </w:r>
      <w:r w:rsidR="00FD575A" w:rsidRPr="00944658">
        <w:t xml:space="preserve"> Sufficient provision has been made in the HRA to cover the cost of this debt. </w:t>
      </w:r>
    </w:p>
    <w:p w:rsidR="00CB7331" w:rsidRPr="00C31E52" w:rsidRDefault="00CB7331" w:rsidP="00E4501F">
      <w:pPr>
        <w:pStyle w:val="Bulletpoints"/>
        <w:ind w:hanging="708"/>
        <w:rPr>
          <w:b/>
        </w:rPr>
      </w:pPr>
      <w:r w:rsidRPr="00C31E52">
        <w:rPr>
          <w:b/>
        </w:rPr>
        <w:t>Inflation and pay assumptions</w:t>
      </w:r>
    </w:p>
    <w:p w:rsidR="00CB7331" w:rsidRPr="00C31E52" w:rsidRDefault="00CB7331" w:rsidP="00E4501F">
      <w:pPr>
        <w:pStyle w:val="Bulletpoints"/>
        <w:numPr>
          <w:ilvl w:val="0"/>
          <w:numId w:val="0"/>
        </w:numPr>
        <w:ind w:left="1134"/>
      </w:pPr>
      <w:r w:rsidRPr="00C31E52">
        <w:t>All the assumptions for pay inflation are the same as for the Council’s General Fund.</w:t>
      </w:r>
    </w:p>
    <w:p w:rsidR="00E4501F" w:rsidRPr="00D43B9F" w:rsidRDefault="00E4501F" w:rsidP="00E4501F">
      <w:pPr>
        <w:pStyle w:val="Bulletpoints"/>
        <w:numPr>
          <w:ilvl w:val="0"/>
          <w:numId w:val="0"/>
        </w:numPr>
        <w:ind w:left="1134"/>
        <w:rPr>
          <w:highlight w:val="yellow"/>
        </w:rPr>
      </w:pPr>
    </w:p>
    <w:p w:rsidR="00CB7331" w:rsidRPr="00C31E52" w:rsidRDefault="00CB7331" w:rsidP="00CB7331">
      <w:pPr>
        <w:pStyle w:val="Heading1"/>
      </w:pPr>
      <w:r w:rsidRPr="00C31E52">
        <w:t xml:space="preserve">Capital </w:t>
      </w:r>
    </w:p>
    <w:p w:rsidR="00CB7331" w:rsidRPr="00C31E52" w:rsidRDefault="00CB7331" w:rsidP="004F7E55">
      <w:pPr>
        <w:pStyle w:val="bParagraphtext"/>
        <w:numPr>
          <w:ilvl w:val="0"/>
          <w:numId w:val="10"/>
        </w:numPr>
        <w:tabs>
          <w:tab w:val="clear" w:pos="426"/>
        </w:tabs>
        <w:ind w:left="426" w:hanging="426"/>
      </w:pPr>
      <w:r w:rsidRPr="00C31E52">
        <w:t>The Council has set an ambitious Capital Programme for the next four years in excess of £</w:t>
      </w:r>
      <w:r w:rsidR="00C31E52" w:rsidRPr="00C31E52">
        <w:t>577</w:t>
      </w:r>
      <w:r w:rsidRPr="00C31E52">
        <w:t xml:space="preserve"> million. </w:t>
      </w:r>
      <w:r w:rsidR="00BA2FA7" w:rsidRPr="00C31E52">
        <w:t xml:space="preserve">In addition the MTFS makes provision for the financing of further capital spend especially in relation to work that may arise from the stock condition survey of all council operational and commercial buildings, the results of which will not be known for some months. </w:t>
      </w:r>
    </w:p>
    <w:p w:rsidR="00CB7331" w:rsidRPr="00C31E52" w:rsidRDefault="00CB7331" w:rsidP="004F7E55">
      <w:pPr>
        <w:pStyle w:val="bParagraphtext"/>
        <w:numPr>
          <w:ilvl w:val="0"/>
          <w:numId w:val="10"/>
        </w:numPr>
        <w:tabs>
          <w:tab w:val="clear" w:pos="426"/>
        </w:tabs>
        <w:ind w:left="426" w:hanging="426"/>
      </w:pPr>
      <w:r w:rsidRPr="00C31E52">
        <w:t xml:space="preserve">The preparation of the Capital Programme has undergone similar scrutiny to the other areas of the Council’s budget with the Development Board having an oversight of all new bids. Contingencies are included within individual schemes for variations in spend with any other variations outside these amounts being subject to the normal virement and supplementary estimate approvals set out in the Council’s Financial Rules. </w:t>
      </w:r>
    </w:p>
    <w:p w:rsidR="00CB7331" w:rsidRPr="00C31E52" w:rsidRDefault="00CB7331" w:rsidP="004F7E55">
      <w:pPr>
        <w:pStyle w:val="bParagraphtext"/>
        <w:numPr>
          <w:ilvl w:val="0"/>
          <w:numId w:val="10"/>
        </w:numPr>
        <w:tabs>
          <w:tab w:val="clear" w:pos="426"/>
        </w:tabs>
        <w:ind w:left="426" w:hanging="426"/>
      </w:pPr>
      <w:r w:rsidRPr="00C31E52">
        <w:t>Financing of schemes within the Programme is predominantly through borrowing which at £</w:t>
      </w:r>
      <w:r w:rsidR="00C31E52" w:rsidRPr="00C31E52">
        <w:t>372</w:t>
      </w:r>
      <w:r w:rsidRPr="00C31E52">
        <w:t xml:space="preserve"> million over the 4 year programme represents </w:t>
      </w:r>
      <w:r w:rsidR="00C31E52" w:rsidRPr="00C31E52">
        <w:t>64</w:t>
      </w:r>
      <w:r w:rsidRPr="00C31E52">
        <w:t xml:space="preserve">% of the total programme. Most General Fund additional borrowing is in relation to loans to the Council’s Housing Development Company (OCH(D)L) with the HRA borrowing being in relation to the purchase of social housing units from OCH(D)L. Whilst this represents a significant increase in Council debt to </w:t>
      </w:r>
      <w:r w:rsidR="00C31E52" w:rsidRPr="00C31E52">
        <w:t>over</w:t>
      </w:r>
      <w:r w:rsidRPr="00C31E52">
        <w:t xml:space="preserve"> £0.5 billion</w:t>
      </w:r>
      <w:r w:rsidR="00C31E52" w:rsidRPr="00C31E52">
        <w:t xml:space="preserve"> by 2028-29 and</w:t>
      </w:r>
      <w:r w:rsidRPr="00C31E52">
        <w:t xml:space="preserve"> the associated revenue implications have </w:t>
      </w:r>
      <w:r w:rsidR="0027316D" w:rsidRPr="00C31E52">
        <w:t>been accounted for in the MTFS and the debt is manageable.</w:t>
      </w:r>
    </w:p>
    <w:p w:rsidR="00CB7331" w:rsidRPr="00D43B9F" w:rsidRDefault="00CB7331" w:rsidP="00CB7331">
      <w:pPr>
        <w:pStyle w:val="bParagraphtext"/>
        <w:ind w:left="426"/>
        <w:rPr>
          <w:highlight w:val="yellow"/>
        </w:rPr>
      </w:pPr>
    </w:p>
    <w:p w:rsidR="00CB7331" w:rsidRPr="00944658" w:rsidRDefault="00CB7331" w:rsidP="00CB7331">
      <w:pPr>
        <w:pStyle w:val="Heading1"/>
      </w:pPr>
      <w:r w:rsidRPr="00944658">
        <w:t>Adequacy of Reserves and Balances</w:t>
      </w:r>
    </w:p>
    <w:p w:rsidR="00CB7331" w:rsidRPr="00944658" w:rsidRDefault="00CB7331" w:rsidP="004F7E55">
      <w:pPr>
        <w:pStyle w:val="ListParagraph"/>
        <w:numPr>
          <w:ilvl w:val="0"/>
          <w:numId w:val="12"/>
        </w:numPr>
        <w:tabs>
          <w:tab w:val="clear" w:pos="426"/>
        </w:tabs>
        <w:ind w:left="426" w:hanging="426"/>
      </w:pPr>
      <w:r w:rsidRPr="00944658">
        <w:t xml:space="preserve">The prudent level of reserves that the Council should maintain is a matter of judgement. Generally the higher the risk of the council’s financial plans the higher the level of reserves and balances.  </w:t>
      </w:r>
    </w:p>
    <w:p w:rsidR="00FD575A" w:rsidRPr="00944658" w:rsidRDefault="00FD575A" w:rsidP="004F7E55">
      <w:pPr>
        <w:pStyle w:val="ListParagraph"/>
        <w:numPr>
          <w:ilvl w:val="0"/>
          <w:numId w:val="12"/>
        </w:numPr>
        <w:tabs>
          <w:tab w:val="clear" w:pos="426"/>
        </w:tabs>
        <w:ind w:left="426" w:hanging="426"/>
      </w:pPr>
      <w:r w:rsidRPr="00944658">
        <w:t>The pandemic arising from COVID 19 has seen the council experience significant losses of income and increased ex</w:t>
      </w:r>
      <w:r w:rsidR="009F361D" w:rsidRPr="00944658">
        <w:t>penditure totalling around £29 million. In balancing the budget and MTFS, Council agreed at Cabinet in June 2020 to bridge part this forecast deficit from reserves and balances. In the final budget report presented to Cabinet in February the amount to be taken is estimated at around £11.3 million over the 4 year period.</w:t>
      </w:r>
    </w:p>
    <w:p w:rsidR="009F361D" w:rsidRPr="00944658" w:rsidRDefault="009F361D" w:rsidP="004F7E55">
      <w:pPr>
        <w:pStyle w:val="ListParagraph"/>
        <w:numPr>
          <w:ilvl w:val="0"/>
          <w:numId w:val="12"/>
        </w:numPr>
        <w:tabs>
          <w:tab w:val="clear" w:pos="426"/>
        </w:tabs>
        <w:ind w:left="426" w:hanging="426"/>
      </w:pPr>
      <w:r w:rsidRPr="00944658">
        <w:t>The Head of Financial Services undertook an exercise to move around £11</w:t>
      </w:r>
      <w:r w:rsidR="00BA2FA7" w:rsidRPr="00944658">
        <w:t xml:space="preserve"> </w:t>
      </w:r>
      <w:r w:rsidRPr="00944658">
        <w:t>million of previously earmarked reserves into a COVID emergency reserve to cover the net deficit in the MTFS over the four year period. The movement</w:t>
      </w:r>
      <w:r w:rsidR="0027316D" w:rsidRPr="00944658">
        <w:t>s</w:t>
      </w:r>
      <w:r w:rsidRPr="00944658">
        <w:t xml:space="preserve"> </w:t>
      </w:r>
      <w:r w:rsidR="0027316D" w:rsidRPr="00944658">
        <w:t xml:space="preserve">from the capital reserve, NNDR reserve, carry forwards and other service based areas </w:t>
      </w:r>
      <w:r w:rsidRPr="00944658">
        <w:t>will have created pressures in the Council since they their original intended use wil</w:t>
      </w:r>
      <w:r w:rsidR="00A1061E" w:rsidRPr="00944658">
        <w:t>l</w:t>
      </w:r>
      <w:r w:rsidRPr="00944658">
        <w:t xml:space="preserve"> no longer </w:t>
      </w:r>
      <w:r w:rsidRPr="00944658">
        <w:lastRenderedPageBreak/>
        <w:t xml:space="preserve">be achievable. However, these pressures should be containable albeit aspirations in some areas will have needed to be curtailed. </w:t>
      </w:r>
    </w:p>
    <w:p w:rsidR="009F361D" w:rsidRDefault="009F361D" w:rsidP="004F7E55">
      <w:pPr>
        <w:pStyle w:val="bParagraphtext"/>
        <w:numPr>
          <w:ilvl w:val="0"/>
          <w:numId w:val="12"/>
        </w:numPr>
        <w:tabs>
          <w:tab w:val="clear" w:pos="426"/>
        </w:tabs>
        <w:ind w:left="426" w:hanging="426"/>
      </w:pPr>
      <w:r w:rsidRPr="00544682">
        <w:t xml:space="preserve">The </w:t>
      </w:r>
      <w:r w:rsidR="00960886" w:rsidRPr="00544682">
        <w:t>leve</w:t>
      </w:r>
      <w:r w:rsidRPr="00544682">
        <w:t xml:space="preserve">l of the Councils overall reserves and balances is shown in Appendix 1 and summarised </w:t>
      </w:r>
      <w:r w:rsidR="00960886" w:rsidRPr="00544682">
        <w:t xml:space="preserve">in Table 1 </w:t>
      </w:r>
      <w:r w:rsidRPr="00544682">
        <w:t>below</w:t>
      </w:r>
    </w:p>
    <w:p w:rsidR="001C534B" w:rsidRDefault="001C534B" w:rsidP="001C534B">
      <w:pPr>
        <w:pStyle w:val="bParagraphtext"/>
        <w:tabs>
          <w:tab w:val="clear" w:pos="426"/>
        </w:tabs>
        <w:ind w:left="426"/>
      </w:pPr>
      <w:r w:rsidRPr="001C534B">
        <w:rPr>
          <w:noProof/>
        </w:rPr>
        <w:drawing>
          <wp:inline distT="0" distB="0" distL="0" distR="0" wp14:anchorId="4AC5224C" wp14:editId="0219F6F9">
            <wp:extent cx="5904230" cy="404428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4230" cy="4044283"/>
                    </a:xfrm>
                    <a:prstGeom prst="rect">
                      <a:avLst/>
                    </a:prstGeom>
                    <a:noFill/>
                    <a:ln>
                      <a:noFill/>
                    </a:ln>
                  </pic:spPr>
                </pic:pic>
              </a:graphicData>
            </a:graphic>
          </wp:inline>
        </w:drawing>
      </w:r>
    </w:p>
    <w:p w:rsidR="00944658" w:rsidRDefault="00944658" w:rsidP="00944658">
      <w:pPr>
        <w:pStyle w:val="bParagraphtext"/>
        <w:tabs>
          <w:tab w:val="clear" w:pos="426"/>
        </w:tabs>
        <w:ind w:left="426"/>
      </w:pPr>
    </w:p>
    <w:p w:rsidR="009F361D" w:rsidRPr="00544682" w:rsidRDefault="00D7393B" w:rsidP="00D7393B">
      <w:pPr>
        <w:pStyle w:val="bParagraphtext"/>
        <w:ind w:left="360"/>
        <w:rPr>
          <w:b/>
        </w:rPr>
      </w:pPr>
      <w:r w:rsidRPr="00544682">
        <w:rPr>
          <w:b/>
        </w:rPr>
        <w:t>Notes</w:t>
      </w:r>
      <w:r w:rsidR="009F361D" w:rsidRPr="00544682">
        <w:rPr>
          <w:b/>
        </w:rPr>
        <w:t xml:space="preserve"> </w:t>
      </w:r>
    </w:p>
    <w:p w:rsidR="009F361D" w:rsidRPr="00544682" w:rsidRDefault="00D7393B" w:rsidP="00D073FF">
      <w:pPr>
        <w:pStyle w:val="Bulletpoints"/>
        <w:tabs>
          <w:tab w:val="clear" w:pos="1134"/>
          <w:tab w:val="left" w:pos="426"/>
        </w:tabs>
        <w:ind w:left="851" w:hanging="425"/>
      </w:pPr>
      <w:r w:rsidRPr="00544682">
        <w:t>R</w:t>
      </w:r>
      <w:r w:rsidR="009F361D" w:rsidRPr="00544682">
        <w:t>ing fenced accounts funded by third parties which must be repaid if not used for the purpose specified, e.g.</w:t>
      </w:r>
      <w:r w:rsidR="00192624" w:rsidRPr="00544682">
        <w:t xml:space="preserve"> </w:t>
      </w:r>
      <w:r w:rsidR="009F361D" w:rsidRPr="00544682">
        <w:t xml:space="preserve">Salix Fund and much of the Grants Reserve </w:t>
      </w:r>
    </w:p>
    <w:p w:rsidR="009F361D" w:rsidRPr="00544682" w:rsidRDefault="00D7393B" w:rsidP="00D073FF">
      <w:pPr>
        <w:pStyle w:val="Bulletpoints"/>
        <w:tabs>
          <w:tab w:val="clear" w:pos="1134"/>
          <w:tab w:val="left" w:pos="426"/>
        </w:tabs>
        <w:ind w:left="851" w:hanging="425"/>
      </w:pPr>
      <w:r w:rsidRPr="00544682">
        <w:t xml:space="preserve">Other </w:t>
      </w:r>
      <w:r w:rsidR="00192624" w:rsidRPr="00544682">
        <w:t>ring fenced</w:t>
      </w:r>
      <w:r w:rsidRPr="00544682">
        <w:t xml:space="preserve"> accounts -</w:t>
      </w:r>
      <w:r w:rsidR="009F361D" w:rsidRPr="00544682">
        <w:t>reserves which have a statutory limitation on their use; such as the Taxi Licensing Reserve and the HMO Licensing Reserve</w:t>
      </w:r>
    </w:p>
    <w:p w:rsidR="00D7393B" w:rsidRPr="00544682" w:rsidRDefault="00D7393B" w:rsidP="00D073FF">
      <w:pPr>
        <w:pStyle w:val="Bulletpoints"/>
        <w:tabs>
          <w:tab w:val="clear" w:pos="1134"/>
          <w:tab w:val="left" w:pos="426"/>
        </w:tabs>
        <w:ind w:left="851" w:hanging="425"/>
      </w:pPr>
      <w:r w:rsidRPr="00544682">
        <w:t>Other earmarked reserves which have been earmarked but are largely unspent</w:t>
      </w:r>
    </w:p>
    <w:p w:rsidR="009F361D" w:rsidRPr="00544682" w:rsidRDefault="009F361D" w:rsidP="00D073FF">
      <w:pPr>
        <w:pStyle w:val="Bulletpoints"/>
        <w:tabs>
          <w:tab w:val="clear" w:pos="1134"/>
          <w:tab w:val="left" w:pos="426"/>
        </w:tabs>
        <w:ind w:left="851" w:hanging="425"/>
      </w:pPr>
      <w:r w:rsidRPr="00544682">
        <w:t>accounts which it is considered prudent to set aside for a specific purpose such as the Insurance Fund</w:t>
      </w:r>
    </w:p>
    <w:p w:rsidR="00D073FF" w:rsidRPr="00316F9B" w:rsidRDefault="00D073FF" w:rsidP="00D073FF">
      <w:pPr>
        <w:pStyle w:val="Bulletpoints"/>
        <w:numPr>
          <w:ilvl w:val="0"/>
          <w:numId w:val="0"/>
        </w:numPr>
        <w:tabs>
          <w:tab w:val="clear" w:pos="1134"/>
          <w:tab w:val="left" w:pos="426"/>
        </w:tabs>
        <w:ind w:left="851"/>
      </w:pPr>
    </w:p>
    <w:p w:rsidR="00D7393B" w:rsidRPr="00316F9B" w:rsidRDefault="00316F9B" w:rsidP="004F7E55">
      <w:pPr>
        <w:pStyle w:val="Bulletpoints"/>
        <w:numPr>
          <w:ilvl w:val="0"/>
          <w:numId w:val="12"/>
        </w:numPr>
      </w:pPr>
      <w:r w:rsidRPr="00316F9B">
        <w:t xml:space="preserve">Table 1 indicates that General Fund earmarked reserves and balances will reduce from £72 million at 31-3-2021 to an estimated level at 31-3-2022 of £37 million and then to an estimated £29 million by 31-3-2023. </w:t>
      </w:r>
      <w:r w:rsidR="00D7393B" w:rsidRPr="00316F9B">
        <w:t>Other points worthy of note :</w:t>
      </w:r>
    </w:p>
    <w:p w:rsidR="00697968" w:rsidRDefault="00697968" w:rsidP="00316F9B">
      <w:pPr>
        <w:pStyle w:val="Bulletpoints"/>
        <w:numPr>
          <w:ilvl w:val="0"/>
          <w:numId w:val="7"/>
        </w:numPr>
        <w:tabs>
          <w:tab w:val="clear" w:pos="1134"/>
        </w:tabs>
        <w:ind w:left="851" w:hanging="425"/>
      </w:pPr>
      <w:r w:rsidRPr="00697968">
        <w:rPr>
          <w:b/>
        </w:rPr>
        <w:t>Ringfenced reserves</w:t>
      </w:r>
      <w:r>
        <w:t xml:space="preserve"> relating to grants, licenses, HMO, S</w:t>
      </w:r>
      <w:r w:rsidR="001C534B">
        <w:t>al</w:t>
      </w:r>
      <w:r>
        <w:t>ix and Commuted sums can only be used for the specific purposes.</w:t>
      </w:r>
    </w:p>
    <w:p w:rsidR="00316F9B" w:rsidRPr="00316F9B" w:rsidRDefault="00316F9B" w:rsidP="00316F9B">
      <w:pPr>
        <w:pStyle w:val="Bulletpoints"/>
        <w:numPr>
          <w:ilvl w:val="0"/>
          <w:numId w:val="7"/>
        </w:numPr>
        <w:tabs>
          <w:tab w:val="clear" w:pos="1134"/>
        </w:tabs>
        <w:ind w:left="851" w:hanging="425"/>
      </w:pPr>
      <w:r w:rsidRPr="00697968">
        <w:rPr>
          <w:b/>
        </w:rPr>
        <w:t>Unringfenced earmarked reserves</w:t>
      </w:r>
      <w:r w:rsidRPr="00316F9B">
        <w:t xml:space="preserve"> that although allocated can be used to cover General Fund Revenue deficits are estimated to reduce to around £15.8 </w:t>
      </w:r>
      <w:r w:rsidRPr="00316F9B">
        <w:lastRenderedPageBreak/>
        <w:t>million by 31</w:t>
      </w:r>
      <w:r w:rsidRPr="00316F9B">
        <w:rPr>
          <w:vertAlign w:val="superscript"/>
        </w:rPr>
        <w:t>st</w:t>
      </w:r>
      <w:r w:rsidRPr="00316F9B">
        <w:t xml:space="preserve"> March 2023 i.e. a </w:t>
      </w:r>
      <w:r w:rsidR="001C534B">
        <w:t>5</w:t>
      </w:r>
      <w:r w:rsidRPr="00316F9B">
        <w:t>4% reduction compared to the estimated position at 31-3-202</w:t>
      </w:r>
      <w:r w:rsidR="001C534B">
        <w:t>1</w:t>
      </w:r>
      <w:r w:rsidRPr="00316F9B">
        <w:t>.</w:t>
      </w:r>
    </w:p>
    <w:p w:rsidR="00D7393B" w:rsidRPr="00316F9B" w:rsidRDefault="00D7393B" w:rsidP="004F7E55">
      <w:pPr>
        <w:pStyle w:val="Bulletpoints"/>
        <w:numPr>
          <w:ilvl w:val="0"/>
          <w:numId w:val="7"/>
        </w:numPr>
        <w:tabs>
          <w:tab w:val="clear" w:pos="1134"/>
        </w:tabs>
        <w:ind w:left="851" w:hanging="425"/>
      </w:pPr>
      <w:r w:rsidRPr="00316F9B">
        <w:t xml:space="preserve">The COVID Emergency Reserve (number 68) </w:t>
      </w:r>
      <w:r w:rsidR="00316F9B" w:rsidRPr="00316F9B">
        <w:t>will reduce from 11.3 million at 31-3-2021 to around £639k as at 31-3-2013 with the resources used to cover the deficits in the MTFS</w:t>
      </w:r>
      <w:r w:rsidR="001C534B">
        <w:t>,</w:t>
      </w:r>
      <w:r w:rsidR="00316F9B" w:rsidRPr="00316F9B">
        <w:t xml:space="preserve"> largely arising from lost income. </w:t>
      </w:r>
      <w:r w:rsidRPr="00316F9B">
        <w:t xml:space="preserve"> </w:t>
      </w:r>
    </w:p>
    <w:p w:rsidR="006B7C76" w:rsidRPr="00316F9B" w:rsidRDefault="006B7C76" w:rsidP="004F7E55">
      <w:pPr>
        <w:pStyle w:val="Bulletpoints"/>
        <w:numPr>
          <w:ilvl w:val="0"/>
          <w:numId w:val="7"/>
        </w:numPr>
        <w:tabs>
          <w:tab w:val="clear" w:pos="1134"/>
        </w:tabs>
        <w:ind w:left="851" w:hanging="425"/>
      </w:pPr>
      <w:r w:rsidRPr="00316F9B">
        <w:t>The Councils General Fund working balance remains at around £3.8 million through</w:t>
      </w:r>
      <w:r w:rsidR="00316F9B" w:rsidRPr="00316F9B">
        <w:t>out</w:t>
      </w:r>
      <w:r w:rsidRPr="00316F9B">
        <w:t xml:space="preserve"> the period of the MTFS</w:t>
      </w:r>
    </w:p>
    <w:p w:rsidR="009F361D" w:rsidRPr="00316F9B" w:rsidRDefault="006B7C76" w:rsidP="004F7E55">
      <w:pPr>
        <w:pStyle w:val="Bulletpoints"/>
        <w:numPr>
          <w:ilvl w:val="0"/>
          <w:numId w:val="7"/>
        </w:numPr>
        <w:tabs>
          <w:tab w:val="clear" w:pos="1134"/>
        </w:tabs>
        <w:ind w:left="851" w:hanging="425"/>
      </w:pPr>
      <w:r w:rsidRPr="00316F9B">
        <w:t xml:space="preserve">The HRA working is estimated at around </w:t>
      </w:r>
      <w:r w:rsidR="00316F9B" w:rsidRPr="00316F9B">
        <w:t xml:space="preserve">£4.9 m to £5.8 m </w:t>
      </w:r>
      <w:r w:rsidR="009F361D" w:rsidRPr="00316F9B">
        <w:t>representing around 12% of gross rental expenditure</w:t>
      </w:r>
      <w:r w:rsidRPr="00316F9B">
        <w:t>, sufficient to meet any unexpected financial issues that may arise.</w:t>
      </w:r>
    </w:p>
    <w:p w:rsidR="00CB7331" w:rsidRPr="00697968" w:rsidRDefault="00CB7331" w:rsidP="00CB7331">
      <w:pPr>
        <w:pStyle w:val="Heading1"/>
      </w:pPr>
      <w:r w:rsidRPr="00697968">
        <w:t>Financial Resilience</w:t>
      </w:r>
    </w:p>
    <w:p w:rsidR="009F361D" w:rsidRPr="00697968" w:rsidRDefault="009F361D" w:rsidP="004F7E55">
      <w:pPr>
        <w:pStyle w:val="ListParagraph"/>
        <w:numPr>
          <w:ilvl w:val="0"/>
          <w:numId w:val="1"/>
        </w:numPr>
        <w:tabs>
          <w:tab w:val="clear" w:pos="426"/>
        </w:tabs>
        <w:ind w:left="567" w:hanging="567"/>
      </w:pPr>
      <w:r w:rsidRPr="00697968">
        <w:t>The consequence of not keeping a prudent level of reserves can be significant.  In the event of a serious problem, or a series of events such as a downturn in the financial position of ODS, reduced activity in OCHL or a reduction in the value of the Council’s property investments it could lead to less return for the Council and potentially a deficit posit</w:t>
      </w:r>
      <w:r w:rsidR="00697968" w:rsidRPr="00697968">
        <w:t>i</w:t>
      </w:r>
      <w:r w:rsidRPr="00697968">
        <w:t xml:space="preserve">on. In the absence of reserves the Council would be forced to cut expenditure in a damaging or arbitrary way. </w:t>
      </w:r>
    </w:p>
    <w:p w:rsidR="009F361D" w:rsidRPr="008A7100" w:rsidRDefault="009F361D" w:rsidP="004F7E55">
      <w:pPr>
        <w:pStyle w:val="bParagraphtext"/>
        <w:numPr>
          <w:ilvl w:val="0"/>
          <w:numId w:val="1"/>
        </w:numPr>
        <w:tabs>
          <w:tab w:val="clear" w:pos="426"/>
        </w:tabs>
        <w:ind w:left="567" w:hanging="567"/>
      </w:pPr>
      <w:r w:rsidRPr="00697968">
        <w:t xml:space="preserve">The Chartered Institute of Public and Finance and Accountancy (CIPFA) has stated that there should be no imposed limit on the level or nature of balances required to be held by an individual Council. However, for a district council, where changes to a few areas can have a disproportionate impact, a higher percentage of level of reserves to net expenditure is desirable. </w:t>
      </w:r>
      <w:r w:rsidR="00F80592">
        <w:t xml:space="preserve">The level of balances to be held is largely a matter of judgement for the Councils Section 151 Officer based </w:t>
      </w:r>
      <w:r w:rsidR="00F80592" w:rsidRPr="008A7100">
        <w:t xml:space="preserve">on local circumstances such as the level of activity in the council, the risk appetite of the council, the councils reliance on income streams and gross expenditure. </w:t>
      </w:r>
    </w:p>
    <w:p w:rsidR="00706293" w:rsidRPr="008A7100" w:rsidRDefault="00CB7331" w:rsidP="00357F7E">
      <w:pPr>
        <w:pStyle w:val="bParagraphtext"/>
        <w:numPr>
          <w:ilvl w:val="0"/>
          <w:numId w:val="1"/>
        </w:numPr>
        <w:tabs>
          <w:tab w:val="clear" w:pos="426"/>
        </w:tabs>
        <w:ind w:left="567" w:hanging="567"/>
      </w:pPr>
      <w:r w:rsidRPr="008A7100">
        <w:t>CIPFA undert</w:t>
      </w:r>
      <w:r w:rsidR="00F80592" w:rsidRPr="008A7100">
        <w:t>a</w:t>
      </w:r>
      <w:r w:rsidRPr="008A7100">
        <w:t>k</w:t>
      </w:r>
      <w:r w:rsidR="00F80592" w:rsidRPr="008A7100">
        <w:t>e</w:t>
      </w:r>
      <w:r w:rsidRPr="008A7100">
        <w:t xml:space="preserve"> </w:t>
      </w:r>
      <w:r w:rsidR="00F80592" w:rsidRPr="008A7100">
        <w:t xml:space="preserve">a </w:t>
      </w:r>
      <w:r w:rsidRPr="008A7100">
        <w:t xml:space="preserve">survey of councils to understand their financial resilience. By analysing data from individual councils and providing comparisons on a number of key financial areas, </w:t>
      </w:r>
      <w:r w:rsidR="00F80592" w:rsidRPr="008A7100">
        <w:t xml:space="preserve">CIPFA place a </w:t>
      </w:r>
      <w:r w:rsidRPr="008A7100">
        <w:t xml:space="preserve">risk rating against each of these measures in terms high, medium and low risk. </w:t>
      </w:r>
      <w:r w:rsidR="00F80592" w:rsidRPr="008A7100">
        <w:t>The latest exercise was undertaken in December 2021 based on financial information for 2020-21. Gi</w:t>
      </w:r>
      <w:r w:rsidR="00357F7E" w:rsidRPr="008A7100">
        <w:t xml:space="preserve">ven the significant change in local authority finances brought about by COVID 19 any use of this data </w:t>
      </w:r>
      <w:r w:rsidR="00F80592" w:rsidRPr="008A7100">
        <w:t>may</w:t>
      </w:r>
      <w:r w:rsidR="00357F7E" w:rsidRPr="008A7100">
        <w:t xml:space="preserve"> be at best misleading.</w:t>
      </w:r>
    </w:p>
    <w:p w:rsidR="00357F7E" w:rsidRPr="008A7100" w:rsidRDefault="00357F7E" w:rsidP="000A5483">
      <w:pPr>
        <w:pStyle w:val="Bulletpoints"/>
        <w:numPr>
          <w:ilvl w:val="0"/>
          <w:numId w:val="1"/>
        </w:numPr>
        <w:ind w:left="567" w:hanging="567"/>
      </w:pPr>
      <w:r w:rsidRPr="008A7100">
        <w:t xml:space="preserve">Suffice to say that </w:t>
      </w:r>
      <w:r w:rsidR="00F80592" w:rsidRPr="008A7100">
        <w:t xml:space="preserve">the main observations </w:t>
      </w:r>
      <w:r w:rsidRPr="008A7100">
        <w:t xml:space="preserve">in comparison to other non-metropolitan districts </w:t>
      </w:r>
      <w:r w:rsidR="00F80592" w:rsidRPr="008A7100">
        <w:t>was as follows</w:t>
      </w:r>
      <w:r w:rsidRPr="008A7100">
        <w:t xml:space="preserve">: </w:t>
      </w:r>
    </w:p>
    <w:p w:rsidR="00421FF0" w:rsidRPr="008A7100" w:rsidRDefault="00F80592" w:rsidP="00357F7E">
      <w:pPr>
        <w:pStyle w:val="Bulletpoints"/>
        <w:numPr>
          <w:ilvl w:val="0"/>
          <w:numId w:val="13"/>
        </w:numPr>
        <w:ind w:left="1134" w:hanging="567"/>
      </w:pPr>
      <w:r w:rsidRPr="008A7100">
        <w:t xml:space="preserve">The ratio of reserves to net revenue expenditure was 141% for Oxford against a range of 26%- 300% for other local authorities. The authority was deemed medium to high risk and recent events will decrease this ratio still further. </w:t>
      </w:r>
      <w:r w:rsidR="00957F9D" w:rsidRPr="008A7100">
        <w:t xml:space="preserve"> </w:t>
      </w:r>
    </w:p>
    <w:p w:rsidR="00CB7331" w:rsidRPr="008A7100" w:rsidRDefault="00CB7331" w:rsidP="00D073FF">
      <w:pPr>
        <w:pStyle w:val="Bulletpoints"/>
        <w:tabs>
          <w:tab w:val="clear" w:pos="1134"/>
        </w:tabs>
        <w:ind w:hanging="567"/>
      </w:pPr>
      <w:r w:rsidRPr="008A7100">
        <w:t xml:space="preserve">The ‘Oxford Model’ </w:t>
      </w:r>
      <w:r w:rsidR="00664A87" w:rsidRPr="008A7100">
        <w:t>relies</w:t>
      </w:r>
      <w:r w:rsidRPr="008A7100">
        <w:t xml:space="preserve"> on significant income streams to fund its gross expenditure. </w:t>
      </w:r>
      <w:r w:rsidR="00F80592" w:rsidRPr="008A7100">
        <w:t xml:space="preserve">Fees and charges as a ratio to service expenditure is 23% against a range of 0.55% to 73% for other local authorities. </w:t>
      </w:r>
      <w:r w:rsidR="008A7100" w:rsidRPr="008A7100">
        <w:t>This ratio will increase over the life of the MTFP given the reliance on financial returns from OCHL and ODS and although deemed low by CIPFA is certainly one to closely monitor</w:t>
      </w:r>
      <w:r w:rsidRPr="008A7100">
        <w:t>.</w:t>
      </w:r>
    </w:p>
    <w:p w:rsidR="00CB7331" w:rsidRPr="008A7100" w:rsidRDefault="00CB7331" w:rsidP="00D073FF">
      <w:pPr>
        <w:pStyle w:val="Bulletpoints"/>
        <w:tabs>
          <w:tab w:val="clear" w:pos="1134"/>
        </w:tabs>
        <w:ind w:hanging="567"/>
      </w:pPr>
      <w:r w:rsidRPr="008A7100">
        <w:lastRenderedPageBreak/>
        <w:t xml:space="preserve">The high percentage of business rates growth above baseline for Oxford City Council </w:t>
      </w:r>
      <w:r w:rsidR="008A7100" w:rsidRPr="008A7100">
        <w:t xml:space="preserve">at 74% within a range of -153% to 435% </w:t>
      </w:r>
      <w:r w:rsidRPr="008A7100">
        <w:t xml:space="preserve">is reflective of the opening </w:t>
      </w:r>
      <w:r w:rsidR="008A7100" w:rsidRPr="008A7100">
        <w:t>of the Westgate Shopping Centre and is deemed medium to high risk.</w:t>
      </w:r>
      <w:r w:rsidRPr="008A7100">
        <w:t xml:space="preserve"> On 1 April 202</w:t>
      </w:r>
      <w:r w:rsidR="008A7100" w:rsidRPr="008A7100">
        <w:t>3</w:t>
      </w:r>
      <w:r w:rsidRPr="008A7100">
        <w:t xml:space="preserve"> the government will re-adjust all Councils’ business rates baseline</w:t>
      </w:r>
      <w:r w:rsidR="00226385" w:rsidRPr="008A7100">
        <w:t xml:space="preserve"> (the level of business rates income that the Government believe you need to run services)</w:t>
      </w:r>
      <w:r w:rsidRPr="008A7100">
        <w:t xml:space="preserve">, which will inevitably reduce the amount of business rates growth that can be retained by the Council. Although mitigation has been put in place there is still considerable uncertainty about the </w:t>
      </w:r>
      <w:r w:rsidR="008A7100" w:rsidRPr="008A7100">
        <w:t>financial impact on the Council and this presents a significant financial risk.</w:t>
      </w:r>
    </w:p>
    <w:p w:rsidR="00CB7331" w:rsidRPr="008A7100" w:rsidRDefault="00CB7331" w:rsidP="00D073FF">
      <w:pPr>
        <w:pStyle w:val="Bulletpoints"/>
        <w:tabs>
          <w:tab w:val="clear" w:pos="1134"/>
        </w:tabs>
        <w:ind w:hanging="567"/>
      </w:pPr>
      <w:r w:rsidRPr="008A7100">
        <w:t>At £3.</w:t>
      </w:r>
      <w:r w:rsidR="00421FF0" w:rsidRPr="008A7100">
        <w:t>8</w:t>
      </w:r>
      <w:r w:rsidRPr="008A7100">
        <w:t xml:space="preserve"> million the General Fund Working Balance at around 1</w:t>
      </w:r>
      <w:r w:rsidR="00421FF0" w:rsidRPr="008A7100">
        <w:t>6</w:t>
      </w:r>
      <w:r w:rsidRPr="008A7100">
        <w:t xml:space="preserve">% of net revenue expenditure. Whilst this </w:t>
      </w:r>
      <w:r w:rsidR="00226385" w:rsidRPr="008A7100">
        <w:t>was</w:t>
      </w:r>
      <w:r w:rsidRPr="008A7100">
        <w:t xml:space="preserve"> far short of the upper end of the sample group at </w:t>
      </w:r>
      <w:r w:rsidR="008A7100" w:rsidRPr="008A7100">
        <w:t>300</w:t>
      </w:r>
      <w:r w:rsidRPr="008A7100">
        <w:t xml:space="preserve">% it is still considered by the Council’s Section 151 Officer to be a reasonable level for this authority especially when combined with earmarked reserves. </w:t>
      </w:r>
    </w:p>
    <w:p w:rsidR="00CB7331" w:rsidRPr="008A7100" w:rsidRDefault="00CB7331" w:rsidP="004F7E55">
      <w:pPr>
        <w:pStyle w:val="bParagraphtext"/>
        <w:numPr>
          <w:ilvl w:val="0"/>
          <w:numId w:val="1"/>
        </w:numPr>
        <w:tabs>
          <w:tab w:val="clear" w:pos="426"/>
        </w:tabs>
        <w:ind w:left="567" w:hanging="567"/>
      </w:pPr>
      <w:r w:rsidRPr="008A7100">
        <w:t>Whilst the CIPFA work does provide some useful comparisons with other similar authorities, it does also indicate t</w:t>
      </w:r>
      <w:r w:rsidR="00957F9D" w:rsidRPr="008A7100">
        <w:t>he subjectivity of the exercise and what will be more interesting to see is the comparative position</w:t>
      </w:r>
      <w:r w:rsidR="00B728A1" w:rsidRPr="008A7100">
        <w:t>,</w:t>
      </w:r>
      <w:r w:rsidR="00957F9D" w:rsidRPr="008A7100">
        <w:t xml:space="preserve"> post COVID</w:t>
      </w:r>
      <w:r w:rsidR="00B728A1" w:rsidRPr="008A7100">
        <w:t xml:space="preserve"> since many authorities will have used</w:t>
      </w:r>
      <w:r w:rsidR="008A7100" w:rsidRPr="008A7100">
        <w:t xml:space="preserve"> reserves to balance the budget.</w:t>
      </w:r>
    </w:p>
    <w:p w:rsidR="00150DF7" w:rsidRPr="00346115" w:rsidRDefault="00150DF7" w:rsidP="00D073FF">
      <w:pPr>
        <w:ind w:left="567" w:hanging="567"/>
        <w:rPr>
          <w:b/>
        </w:rPr>
      </w:pPr>
      <w:r w:rsidRPr="00346115">
        <w:rPr>
          <w:b/>
        </w:rPr>
        <w:t>Sensitivity Analysis</w:t>
      </w:r>
    </w:p>
    <w:p w:rsidR="00150DF7" w:rsidRPr="00346115" w:rsidRDefault="00346115" w:rsidP="004F7E55">
      <w:pPr>
        <w:pStyle w:val="bParagraphtext"/>
        <w:numPr>
          <w:ilvl w:val="0"/>
          <w:numId w:val="1"/>
        </w:numPr>
        <w:tabs>
          <w:tab w:val="clear" w:pos="426"/>
          <w:tab w:val="left" w:pos="0"/>
        </w:tabs>
        <w:ind w:left="567" w:hanging="567"/>
      </w:pPr>
      <w:r>
        <w:t xml:space="preserve">The Covid pandemic has challenged the assumption that the </w:t>
      </w:r>
      <w:r w:rsidR="00150DF7" w:rsidRPr="00346115">
        <w:t>authority would be exceptionally unl</w:t>
      </w:r>
      <w:r>
        <w:t>ikely</w:t>
      </w:r>
      <w:r w:rsidR="00150DF7" w:rsidRPr="00346115">
        <w:t xml:space="preserve"> to suffer adverse consequences from all potential sources of risk </w:t>
      </w:r>
      <w:r>
        <w:t xml:space="preserve">and income </w:t>
      </w:r>
      <w:r w:rsidR="00150DF7" w:rsidRPr="00346115">
        <w:t>in the course of a financial year</w:t>
      </w:r>
      <w:r>
        <w:t xml:space="preserve">. Whilst hopefully the authority is on the road to recovery </w:t>
      </w:r>
      <w:r w:rsidR="00150DF7" w:rsidRPr="00346115">
        <w:t xml:space="preserve">risks relating to individual income streams </w:t>
      </w:r>
      <w:r>
        <w:t xml:space="preserve">still remain and will need close monitoring over the coming months. </w:t>
      </w:r>
      <w:r w:rsidR="00150DF7" w:rsidRPr="00346115">
        <w:t xml:space="preserve">The following analysis indicates the financial </w:t>
      </w:r>
      <w:r w:rsidR="00C80B48" w:rsidRPr="00346115">
        <w:t>impact</w:t>
      </w:r>
      <w:r w:rsidR="00150DF7" w:rsidRPr="00346115">
        <w:t xml:space="preserve"> of a 10% variation </w:t>
      </w:r>
      <w:r>
        <w:t xml:space="preserve">on significant items of income and expenditure. </w:t>
      </w:r>
    </w:p>
    <w:tbl>
      <w:tblPr>
        <w:tblStyle w:val="TableGrid"/>
        <w:tblW w:w="0" w:type="auto"/>
        <w:tblInd w:w="720" w:type="dxa"/>
        <w:tblLook w:val="04A0" w:firstRow="1" w:lastRow="0" w:firstColumn="1" w:lastColumn="0" w:noHBand="0" w:noVBand="1"/>
        <w:tblDescription w:val="Table 3: Sensitivity Analysis"/>
      </w:tblPr>
      <w:tblGrid>
        <w:gridCol w:w="4219"/>
        <w:gridCol w:w="1701"/>
        <w:gridCol w:w="1843"/>
      </w:tblGrid>
      <w:tr w:rsidR="00973790" w:rsidRPr="00D43B9F" w:rsidTr="00D16F0A">
        <w:trPr>
          <w:tblHeader/>
        </w:trPr>
        <w:tc>
          <w:tcPr>
            <w:tcW w:w="7763" w:type="dxa"/>
            <w:gridSpan w:val="3"/>
            <w:shd w:val="clear" w:color="auto" w:fill="auto"/>
          </w:tcPr>
          <w:p w:rsidR="00973790" w:rsidRPr="00D16F0A" w:rsidRDefault="00973790" w:rsidP="00697968">
            <w:pPr>
              <w:rPr>
                <w:b/>
              </w:rPr>
            </w:pPr>
            <w:r w:rsidRPr="00D16F0A">
              <w:rPr>
                <w:b/>
              </w:rPr>
              <w:t xml:space="preserve">Table </w:t>
            </w:r>
            <w:r w:rsidR="00226385" w:rsidRPr="00D16F0A">
              <w:rPr>
                <w:b/>
              </w:rPr>
              <w:t>2</w:t>
            </w:r>
            <w:r w:rsidRPr="00D16F0A">
              <w:rPr>
                <w:b/>
              </w:rPr>
              <w:t>: Sensitivity Analysis</w:t>
            </w:r>
            <w:r w:rsidR="00957F9D" w:rsidRPr="00D16F0A">
              <w:rPr>
                <w:b/>
              </w:rPr>
              <w:t xml:space="preserve"> based on 202</w:t>
            </w:r>
            <w:r w:rsidR="00697968" w:rsidRPr="00D16F0A">
              <w:rPr>
                <w:b/>
              </w:rPr>
              <w:t>2</w:t>
            </w:r>
            <w:r w:rsidR="00957F9D" w:rsidRPr="00D16F0A">
              <w:rPr>
                <w:b/>
              </w:rPr>
              <w:t>-2</w:t>
            </w:r>
            <w:r w:rsidR="00E536BB">
              <w:rPr>
                <w:b/>
              </w:rPr>
              <w:t>3</w:t>
            </w:r>
            <w:r w:rsidR="00957F9D" w:rsidRPr="00D16F0A">
              <w:rPr>
                <w:b/>
              </w:rPr>
              <w:t xml:space="preserve"> Budget</w:t>
            </w:r>
          </w:p>
        </w:tc>
      </w:tr>
      <w:tr w:rsidR="00973790" w:rsidRPr="00D43B9F" w:rsidTr="00D16F0A">
        <w:tc>
          <w:tcPr>
            <w:tcW w:w="7763" w:type="dxa"/>
            <w:gridSpan w:val="3"/>
            <w:shd w:val="clear" w:color="auto" w:fill="auto"/>
          </w:tcPr>
          <w:p w:rsidR="00973790" w:rsidRPr="00D16F0A" w:rsidRDefault="00973790" w:rsidP="00A22CDD">
            <w:pPr>
              <w:rPr>
                <w:b/>
              </w:rPr>
            </w:pPr>
            <w:r w:rsidRPr="00D16F0A">
              <w:rPr>
                <w:b/>
              </w:rPr>
              <w:t>10% Variation in Income And Expenditure</w:t>
            </w:r>
          </w:p>
        </w:tc>
      </w:tr>
      <w:tr w:rsidR="00973790" w:rsidRPr="00D43B9F" w:rsidTr="00D16F0A">
        <w:tc>
          <w:tcPr>
            <w:tcW w:w="4219" w:type="dxa"/>
            <w:shd w:val="clear" w:color="auto" w:fill="auto"/>
          </w:tcPr>
          <w:p w:rsidR="00973790" w:rsidRPr="00D16F0A" w:rsidRDefault="00973790" w:rsidP="0014456E">
            <w:pPr>
              <w:spacing w:after="0"/>
              <w:jc w:val="right"/>
            </w:pPr>
          </w:p>
        </w:tc>
        <w:tc>
          <w:tcPr>
            <w:tcW w:w="1701" w:type="dxa"/>
            <w:shd w:val="clear" w:color="auto" w:fill="auto"/>
          </w:tcPr>
          <w:p w:rsidR="0014456E" w:rsidRPr="00D16F0A" w:rsidRDefault="00973790" w:rsidP="0014456E">
            <w:pPr>
              <w:spacing w:after="0"/>
              <w:jc w:val="right"/>
              <w:rPr>
                <w:b/>
              </w:rPr>
            </w:pPr>
            <w:r w:rsidRPr="00D16F0A">
              <w:rPr>
                <w:b/>
              </w:rPr>
              <w:t>Gross</w:t>
            </w:r>
            <w:r w:rsidR="0014456E" w:rsidRPr="00D16F0A">
              <w:rPr>
                <w:b/>
              </w:rPr>
              <w:t xml:space="preserve"> </w:t>
            </w:r>
          </w:p>
          <w:p w:rsidR="00973790" w:rsidRPr="00D16F0A" w:rsidRDefault="00973790" w:rsidP="0014456E">
            <w:pPr>
              <w:spacing w:after="0"/>
              <w:jc w:val="right"/>
            </w:pPr>
            <w:r w:rsidRPr="00D16F0A">
              <w:t>£000's</w:t>
            </w:r>
          </w:p>
        </w:tc>
        <w:tc>
          <w:tcPr>
            <w:tcW w:w="1843" w:type="dxa"/>
            <w:shd w:val="clear" w:color="auto" w:fill="auto"/>
          </w:tcPr>
          <w:p w:rsidR="0014456E" w:rsidRPr="00D16F0A" w:rsidRDefault="00973790" w:rsidP="0014456E">
            <w:pPr>
              <w:spacing w:after="0"/>
              <w:jc w:val="right"/>
              <w:rPr>
                <w:b/>
              </w:rPr>
            </w:pPr>
            <w:r w:rsidRPr="00D16F0A">
              <w:rPr>
                <w:b/>
              </w:rPr>
              <w:t>Risk</w:t>
            </w:r>
            <w:r w:rsidR="0014456E" w:rsidRPr="00D16F0A">
              <w:rPr>
                <w:b/>
              </w:rPr>
              <w:t xml:space="preserve"> </w:t>
            </w:r>
          </w:p>
          <w:p w:rsidR="00973790" w:rsidRPr="00D16F0A" w:rsidRDefault="00973790" w:rsidP="0014456E">
            <w:pPr>
              <w:spacing w:after="0"/>
              <w:jc w:val="right"/>
            </w:pPr>
            <w:r w:rsidRPr="00D16F0A">
              <w:t>£000's</w:t>
            </w:r>
          </w:p>
        </w:tc>
      </w:tr>
      <w:tr w:rsidR="00D16F0A" w:rsidRPr="00D43B9F" w:rsidTr="00D16F0A">
        <w:tc>
          <w:tcPr>
            <w:tcW w:w="4219" w:type="dxa"/>
            <w:shd w:val="clear" w:color="auto" w:fill="auto"/>
          </w:tcPr>
          <w:p w:rsidR="00D16F0A" w:rsidRPr="00D16F0A" w:rsidRDefault="00D16F0A" w:rsidP="005070E3">
            <w:r>
              <w:t>Additional efficiencies</w:t>
            </w:r>
          </w:p>
        </w:tc>
        <w:tc>
          <w:tcPr>
            <w:tcW w:w="1701" w:type="dxa"/>
            <w:shd w:val="clear" w:color="auto" w:fill="auto"/>
            <w:vAlign w:val="center"/>
          </w:tcPr>
          <w:p w:rsidR="00D16F0A" w:rsidRPr="00D16F0A" w:rsidRDefault="00D16F0A" w:rsidP="001B5E59">
            <w:pPr>
              <w:jc w:val="right"/>
            </w:pPr>
            <w:r>
              <w:t>7,250</w:t>
            </w:r>
          </w:p>
        </w:tc>
        <w:tc>
          <w:tcPr>
            <w:tcW w:w="1843" w:type="dxa"/>
            <w:shd w:val="clear" w:color="auto" w:fill="auto"/>
            <w:vAlign w:val="center"/>
          </w:tcPr>
          <w:p w:rsidR="00D16F0A" w:rsidRPr="00D16F0A" w:rsidRDefault="00D16F0A" w:rsidP="00973790">
            <w:pPr>
              <w:jc w:val="right"/>
            </w:pPr>
            <w:r>
              <w:t>725</w:t>
            </w:r>
          </w:p>
        </w:tc>
      </w:tr>
      <w:tr w:rsidR="00973790" w:rsidRPr="00D43B9F" w:rsidTr="00D16F0A">
        <w:tc>
          <w:tcPr>
            <w:tcW w:w="4219" w:type="dxa"/>
            <w:shd w:val="clear" w:color="auto" w:fill="auto"/>
          </w:tcPr>
          <w:p w:rsidR="00973790" w:rsidRPr="00D16F0A" w:rsidRDefault="00973790" w:rsidP="005070E3">
            <w:r w:rsidRPr="00D16F0A">
              <w:t xml:space="preserve">Car Parking Income </w:t>
            </w:r>
          </w:p>
        </w:tc>
        <w:tc>
          <w:tcPr>
            <w:tcW w:w="1701" w:type="dxa"/>
            <w:shd w:val="clear" w:color="auto" w:fill="auto"/>
            <w:vAlign w:val="center"/>
          </w:tcPr>
          <w:p w:rsidR="00973790" w:rsidRPr="00D16F0A" w:rsidRDefault="00D16F0A" w:rsidP="001B5E59">
            <w:pPr>
              <w:jc w:val="right"/>
            </w:pPr>
            <w:r w:rsidRPr="00D16F0A">
              <w:t>7,000</w:t>
            </w:r>
          </w:p>
        </w:tc>
        <w:tc>
          <w:tcPr>
            <w:tcW w:w="1843" w:type="dxa"/>
            <w:shd w:val="clear" w:color="auto" w:fill="auto"/>
            <w:vAlign w:val="center"/>
          </w:tcPr>
          <w:p w:rsidR="00973790" w:rsidRPr="00D16F0A" w:rsidRDefault="00D16F0A" w:rsidP="00973790">
            <w:pPr>
              <w:jc w:val="right"/>
            </w:pPr>
            <w:r w:rsidRPr="00D16F0A">
              <w:t>7</w:t>
            </w:r>
            <w:r w:rsidR="00FC4048" w:rsidRPr="00D16F0A">
              <w:t>00</w:t>
            </w:r>
          </w:p>
        </w:tc>
      </w:tr>
      <w:tr w:rsidR="00973790" w:rsidRPr="00D43B9F" w:rsidTr="00D16F0A">
        <w:tc>
          <w:tcPr>
            <w:tcW w:w="4219" w:type="dxa"/>
            <w:shd w:val="clear" w:color="auto" w:fill="auto"/>
          </w:tcPr>
          <w:p w:rsidR="00973790" w:rsidRPr="00D16F0A" w:rsidRDefault="00973790" w:rsidP="005070E3">
            <w:r w:rsidRPr="00D16F0A">
              <w:t>Commercial rent income</w:t>
            </w:r>
          </w:p>
        </w:tc>
        <w:tc>
          <w:tcPr>
            <w:tcW w:w="1701" w:type="dxa"/>
            <w:shd w:val="clear" w:color="auto" w:fill="auto"/>
            <w:vAlign w:val="center"/>
          </w:tcPr>
          <w:p w:rsidR="00973790" w:rsidRPr="00D16F0A" w:rsidRDefault="00D16F0A" w:rsidP="00D16F0A">
            <w:pPr>
              <w:jc w:val="right"/>
            </w:pPr>
            <w:r w:rsidRPr="00D16F0A">
              <w:t>11</w:t>
            </w:r>
            <w:r w:rsidR="00FC4048" w:rsidRPr="00D16F0A">
              <w:t>,</w:t>
            </w:r>
            <w:r w:rsidRPr="00D16F0A">
              <w:t>6</w:t>
            </w:r>
            <w:r w:rsidR="00FC4048" w:rsidRPr="00D16F0A">
              <w:t>00</w:t>
            </w:r>
          </w:p>
        </w:tc>
        <w:tc>
          <w:tcPr>
            <w:tcW w:w="1843" w:type="dxa"/>
            <w:shd w:val="clear" w:color="auto" w:fill="auto"/>
            <w:vAlign w:val="center"/>
          </w:tcPr>
          <w:p w:rsidR="00973790" w:rsidRPr="00D16F0A" w:rsidRDefault="00D16F0A" w:rsidP="00973790">
            <w:pPr>
              <w:jc w:val="right"/>
            </w:pPr>
            <w:r w:rsidRPr="00D16F0A">
              <w:t>1,160</w:t>
            </w:r>
          </w:p>
        </w:tc>
      </w:tr>
      <w:tr w:rsidR="00973790" w:rsidRPr="00D43B9F" w:rsidTr="00D16F0A">
        <w:tc>
          <w:tcPr>
            <w:tcW w:w="4219" w:type="dxa"/>
            <w:shd w:val="clear" w:color="auto" w:fill="auto"/>
          </w:tcPr>
          <w:p w:rsidR="00973790" w:rsidRPr="00D16F0A" w:rsidRDefault="00973790" w:rsidP="005070E3">
            <w:r w:rsidRPr="00D16F0A">
              <w:t>Dividend from ODS</w:t>
            </w:r>
          </w:p>
        </w:tc>
        <w:tc>
          <w:tcPr>
            <w:tcW w:w="1701" w:type="dxa"/>
            <w:shd w:val="clear" w:color="auto" w:fill="auto"/>
            <w:vAlign w:val="center"/>
          </w:tcPr>
          <w:p w:rsidR="00973790" w:rsidRPr="00D16F0A" w:rsidRDefault="00697968" w:rsidP="00957F9D">
            <w:pPr>
              <w:jc w:val="right"/>
            </w:pPr>
            <w:r w:rsidRPr="00D16F0A">
              <w:t>2,000</w:t>
            </w:r>
          </w:p>
        </w:tc>
        <w:tc>
          <w:tcPr>
            <w:tcW w:w="1843" w:type="dxa"/>
            <w:shd w:val="clear" w:color="auto" w:fill="auto"/>
            <w:vAlign w:val="center"/>
          </w:tcPr>
          <w:p w:rsidR="00973790" w:rsidRPr="00D16F0A" w:rsidRDefault="00697968" w:rsidP="00957F9D">
            <w:pPr>
              <w:jc w:val="right"/>
            </w:pPr>
            <w:r w:rsidRPr="00D16F0A">
              <w:t>200</w:t>
            </w:r>
          </w:p>
        </w:tc>
      </w:tr>
      <w:tr w:rsidR="00973790" w:rsidRPr="00D43B9F" w:rsidTr="00D16F0A">
        <w:tc>
          <w:tcPr>
            <w:tcW w:w="4219" w:type="dxa"/>
            <w:shd w:val="clear" w:color="auto" w:fill="auto"/>
          </w:tcPr>
          <w:p w:rsidR="00973790" w:rsidRPr="00D16F0A" w:rsidRDefault="00973790" w:rsidP="005070E3">
            <w:r w:rsidRPr="00D16F0A">
              <w:t>Business Rates</w:t>
            </w:r>
          </w:p>
        </w:tc>
        <w:tc>
          <w:tcPr>
            <w:tcW w:w="1701" w:type="dxa"/>
            <w:shd w:val="clear" w:color="auto" w:fill="auto"/>
            <w:vAlign w:val="center"/>
          </w:tcPr>
          <w:p w:rsidR="00973790" w:rsidRPr="00D16F0A" w:rsidRDefault="00697968" w:rsidP="00957F9D">
            <w:pPr>
              <w:jc w:val="right"/>
            </w:pPr>
            <w:r w:rsidRPr="00D16F0A">
              <w:t>7,154</w:t>
            </w:r>
          </w:p>
        </w:tc>
        <w:tc>
          <w:tcPr>
            <w:tcW w:w="1843" w:type="dxa"/>
            <w:shd w:val="clear" w:color="auto" w:fill="auto"/>
            <w:vAlign w:val="center"/>
          </w:tcPr>
          <w:p w:rsidR="00973790" w:rsidRPr="00D16F0A" w:rsidRDefault="00697968" w:rsidP="00957F9D">
            <w:pPr>
              <w:jc w:val="right"/>
            </w:pPr>
            <w:r w:rsidRPr="00D16F0A">
              <w:t>715</w:t>
            </w:r>
          </w:p>
        </w:tc>
      </w:tr>
      <w:tr w:rsidR="00973790" w:rsidRPr="00D43B9F" w:rsidTr="00D16F0A">
        <w:tc>
          <w:tcPr>
            <w:tcW w:w="4219" w:type="dxa"/>
            <w:shd w:val="clear" w:color="auto" w:fill="auto"/>
          </w:tcPr>
          <w:p w:rsidR="00973790" w:rsidRPr="00D16F0A" w:rsidRDefault="00973790" w:rsidP="005070E3">
            <w:r w:rsidRPr="00D16F0A">
              <w:t>Returns from OCHL</w:t>
            </w:r>
          </w:p>
        </w:tc>
        <w:tc>
          <w:tcPr>
            <w:tcW w:w="1701" w:type="dxa"/>
            <w:shd w:val="clear" w:color="auto" w:fill="auto"/>
            <w:vAlign w:val="center"/>
          </w:tcPr>
          <w:p w:rsidR="00973790" w:rsidRPr="00D16F0A" w:rsidRDefault="00957F9D" w:rsidP="00697968">
            <w:pPr>
              <w:jc w:val="right"/>
            </w:pPr>
            <w:r w:rsidRPr="00D16F0A">
              <w:t>2,7</w:t>
            </w:r>
            <w:r w:rsidR="00697968" w:rsidRPr="00D16F0A">
              <w:t>82</w:t>
            </w:r>
          </w:p>
        </w:tc>
        <w:tc>
          <w:tcPr>
            <w:tcW w:w="1843" w:type="dxa"/>
            <w:shd w:val="clear" w:color="auto" w:fill="auto"/>
            <w:vAlign w:val="center"/>
          </w:tcPr>
          <w:p w:rsidR="00973790" w:rsidRPr="00D16F0A" w:rsidRDefault="00957F9D" w:rsidP="00697968">
            <w:pPr>
              <w:jc w:val="right"/>
            </w:pPr>
            <w:r w:rsidRPr="00D16F0A">
              <w:t>27</w:t>
            </w:r>
            <w:r w:rsidR="00697968" w:rsidRPr="00D16F0A">
              <w:t>8</w:t>
            </w:r>
          </w:p>
        </w:tc>
      </w:tr>
      <w:tr w:rsidR="00973790" w:rsidRPr="00D43B9F" w:rsidTr="00D16F0A">
        <w:tc>
          <w:tcPr>
            <w:tcW w:w="4219" w:type="dxa"/>
            <w:shd w:val="clear" w:color="auto" w:fill="auto"/>
          </w:tcPr>
          <w:p w:rsidR="00973790" w:rsidRPr="00D16F0A" w:rsidRDefault="00973790" w:rsidP="005070E3">
            <w:r w:rsidRPr="00D16F0A">
              <w:t>Other investment interest</w:t>
            </w:r>
          </w:p>
        </w:tc>
        <w:tc>
          <w:tcPr>
            <w:tcW w:w="1701" w:type="dxa"/>
            <w:shd w:val="clear" w:color="auto" w:fill="auto"/>
            <w:vAlign w:val="center"/>
          </w:tcPr>
          <w:p w:rsidR="00973790" w:rsidRPr="00D16F0A" w:rsidRDefault="00697968" w:rsidP="00697968">
            <w:pPr>
              <w:jc w:val="right"/>
            </w:pPr>
            <w:r w:rsidRPr="00D16F0A">
              <w:t>1,000</w:t>
            </w:r>
          </w:p>
        </w:tc>
        <w:tc>
          <w:tcPr>
            <w:tcW w:w="1843" w:type="dxa"/>
            <w:shd w:val="clear" w:color="auto" w:fill="auto"/>
            <w:vAlign w:val="center"/>
          </w:tcPr>
          <w:p w:rsidR="00973790" w:rsidRPr="00D16F0A" w:rsidRDefault="00697968" w:rsidP="00697968">
            <w:pPr>
              <w:jc w:val="right"/>
            </w:pPr>
            <w:r w:rsidRPr="00D16F0A">
              <w:t>100</w:t>
            </w:r>
          </w:p>
        </w:tc>
      </w:tr>
      <w:tr w:rsidR="00973790" w:rsidRPr="00D43B9F" w:rsidTr="00D16F0A">
        <w:tc>
          <w:tcPr>
            <w:tcW w:w="4219" w:type="dxa"/>
            <w:shd w:val="clear" w:color="auto" w:fill="auto"/>
          </w:tcPr>
          <w:p w:rsidR="00973790" w:rsidRPr="00D16F0A" w:rsidRDefault="00973790" w:rsidP="005070E3">
            <w:r w:rsidRPr="00D16F0A">
              <w:t>Homelessness expenditure</w:t>
            </w:r>
          </w:p>
        </w:tc>
        <w:tc>
          <w:tcPr>
            <w:tcW w:w="1701" w:type="dxa"/>
            <w:shd w:val="clear" w:color="auto" w:fill="auto"/>
            <w:vAlign w:val="center"/>
          </w:tcPr>
          <w:p w:rsidR="00973790" w:rsidRPr="00D16F0A" w:rsidRDefault="00973790" w:rsidP="00973790">
            <w:pPr>
              <w:jc w:val="right"/>
            </w:pPr>
            <w:r w:rsidRPr="00D16F0A">
              <w:t>7,400</w:t>
            </w:r>
          </w:p>
        </w:tc>
        <w:tc>
          <w:tcPr>
            <w:tcW w:w="1843" w:type="dxa"/>
            <w:shd w:val="clear" w:color="auto" w:fill="auto"/>
            <w:vAlign w:val="center"/>
          </w:tcPr>
          <w:p w:rsidR="00973790" w:rsidRPr="00D16F0A" w:rsidRDefault="00973790" w:rsidP="00973790">
            <w:pPr>
              <w:jc w:val="right"/>
            </w:pPr>
            <w:r w:rsidRPr="00D16F0A">
              <w:t>740</w:t>
            </w:r>
          </w:p>
        </w:tc>
      </w:tr>
      <w:tr w:rsidR="00973790" w:rsidRPr="00D43B9F" w:rsidTr="00D16F0A">
        <w:tc>
          <w:tcPr>
            <w:tcW w:w="4219" w:type="dxa"/>
            <w:shd w:val="clear" w:color="auto" w:fill="auto"/>
          </w:tcPr>
          <w:p w:rsidR="00973790" w:rsidRPr="00D16F0A" w:rsidRDefault="00973790" w:rsidP="005070E3">
            <w:r w:rsidRPr="00D16F0A">
              <w:t>Planning income</w:t>
            </w:r>
          </w:p>
        </w:tc>
        <w:tc>
          <w:tcPr>
            <w:tcW w:w="1701" w:type="dxa"/>
            <w:shd w:val="clear" w:color="auto" w:fill="auto"/>
            <w:vAlign w:val="center"/>
          </w:tcPr>
          <w:p w:rsidR="00973790" w:rsidRPr="00D16F0A" w:rsidRDefault="00FC4048" w:rsidP="00D16F0A">
            <w:pPr>
              <w:jc w:val="right"/>
            </w:pPr>
            <w:r w:rsidRPr="00D16F0A">
              <w:t>3,</w:t>
            </w:r>
            <w:r w:rsidR="00D16F0A" w:rsidRPr="00D16F0A">
              <w:t>000</w:t>
            </w:r>
          </w:p>
        </w:tc>
        <w:tc>
          <w:tcPr>
            <w:tcW w:w="1843" w:type="dxa"/>
            <w:shd w:val="clear" w:color="auto" w:fill="auto"/>
            <w:vAlign w:val="center"/>
          </w:tcPr>
          <w:p w:rsidR="00973790" w:rsidRPr="00D16F0A" w:rsidRDefault="00FC4048" w:rsidP="00D16F0A">
            <w:pPr>
              <w:jc w:val="right"/>
            </w:pPr>
            <w:r w:rsidRPr="00D16F0A">
              <w:t>3</w:t>
            </w:r>
            <w:r w:rsidR="00D16F0A" w:rsidRPr="00D16F0A">
              <w:t>00</w:t>
            </w:r>
          </w:p>
        </w:tc>
      </w:tr>
      <w:tr w:rsidR="00973790" w:rsidRPr="00D43B9F" w:rsidTr="00D16F0A">
        <w:tc>
          <w:tcPr>
            <w:tcW w:w="4219" w:type="dxa"/>
            <w:shd w:val="clear" w:color="auto" w:fill="auto"/>
          </w:tcPr>
          <w:p w:rsidR="00973790" w:rsidRPr="00D16F0A" w:rsidRDefault="00973790" w:rsidP="005070E3">
            <w:pPr>
              <w:rPr>
                <w:b/>
              </w:rPr>
            </w:pPr>
            <w:r w:rsidRPr="00D16F0A">
              <w:rPr>
                <w:b/>
              </w:rPr>
              <w:t>Total</w:t>
            </w:r>
          </w:p>
        </w:tc>
        <w:tc>
          <w:tcPr>
            <w:tcW w:w="1701" w:type="dxa"/>
            <w:shd w:val="clear" w:color="auto" w:fill="auto"/>
            <w:vAlign w:val="center"/>
          </w:tcPr>
          <w:p w:rsidR="00973790" w:rsidRPr="00D16F0A" w:rsidRDefault="00D16F0A" w:rsidP="00A1061E">
            <w:pPr>
              <w:jc w:val="right"/>
              <w:rPr>
                <w:b/>
              </w:rPr>
            </w:pPr>
            <w:r>
              <w:rPr>
                <w:b/>
              </w:rPr>
              <w:t>41,936</w:t>
            </w:r>
          </w:p>
        </w:tc>
        <w:tc>
          <w:tcPr>
            <w:tcW w:w="1843" w:type="dxa"/>
            <w:shd w:val="clear" w:color="auto" w:fill="auto"/>
            <w:vAlign w:val="center"/>
          </w:tcPr>
          <w:p w:rsidR="00973790" w:rsidRPr="00D16F0A" w:rsidRDefault="00D16F0A" w:rsidP="00D16F0A">
            <w:pPr>
              <w:jc w:val="right"/>
              <w:rPr>
                <w:b/>
              </w:rPr>
            </w:pPr>
            <w:r>
              <w:rPr>
                <w:b/>
              </w:rPr>
              <w:t>4,918</w:t>
            </w:r>
          </w:p>
        </w:tc>
      </w:tr>
    </w:tbl>
    <w:p w:rsidR="00150DF7" w:rsidRPr="00D43B9F" w:rsidRDefault="00150DF7" w:rsidP="00150DF7">
      <w:pPr>
        <w:rPr>
          <w:highlight w:val="yellow"/>
        </w:rPr>
      </w:pPr>
    </w:p>
    <w:p w:rsidR="00150DF7" w:rsidRPr="00C27F94" w:rsidRDefault="00150DF7" w:rsidP="00150DF7">
      <w:pPr>
        <w:rPr>
          <w:b/>
        </w:rPr>
      </w:pPr>
      <w:r w:rsidRPr="00C27F94">
        <w:rPr>
          <w:b/>
        </w:rPr>
        <w:lastRenderedPageBreak/>
        <w:t>Treasury Management</w:t>
      </w:r>
    </w:p>
    <w:p w:rsidR="006F5838" w:rsidRPr="00B84FC0" w:rsidRDefault="008B6E43" w:rsidP="004F7E55">
      <w:pPr>
        <w:pStyle w:val="bParagraphtext"/>
        <w:numPr>
          <w:ilvl w:val="0"/>
          <w:numId w:val="1"/>
        </w:numPr>
        <w:tabs>
          <w:tab w:val="clear" w:pos="426"/>
        </w:tabs>
        <w:ind w:left="567" w:hanging="567"/>
      </w:pPr>
      <w:r w:rsidRPr="00C27F94">
        <w:t xml:space="preserve">Reserves and Balances are an essential part of cash balances on which the Treasury function is based. Whilst waiting to be used they will attract interest </w:t>
      </w:r>
      <w:r w:rsidR="00C27F94" w:rsidRPr="00C27F94">
        <w:t xml:space="preserve">of around </w:t>
      </w:r>
      <w:r w:rsidRPr="00C27F94">
        <w:t>0.</w:t>
      </w:r>
      <w:r w:rsidR="00C27F94" w:rsidRPr="00C27F94">
        <w:t>1</w:t>
      </w:r>
      <w:r w:rsidRPr="00C27F94">
        <w:t xml:space="preserve">% </w:t>
      </w:r>
      <w:r w:rsidR="00C27F94" w:rsidRPr="00C27F94">
        <w:t xml:space="preserve">per </w:t>
      </w:r>
      <w:r w:rsidRPr="00C27F94">
        <w:t xml:space="preserve">annum depending how they are invested. Longer term investments such as property funds and lending to companies including the Council’s wholly owned companies will attract interest in the region of 4.5% to 6%, </w:t>
      </w:r>
      <w:r w:rsidRPr="00B84FC0">
        <w:t xml:space="preserve">while investments held for short term liquidity purposes will be at the lower end. </w:t>
      </w:r>
    </w:p>
    <w:p w:rsidR="008B6E43" w:rsidRPr="00B84FC0" w:rsidRDefault="008B6E43" w:rsidP="004F7E55">
      <w:pPr>
        <w:pStyle w:val="bParagraphtext"/>
        <w:numPr>
          <w:ilvl w:val="0"/>
          <w:numId w:val="1"/>
        </w:numPr>
        <w:tabs>
          <w:tab w:val="clear" w:pos="426"/>
        </w:tabs>
        <w:ind w:left="567" w:hanging="567"/>
      </w:pPr>
      <w:r w:rsidRPr="00B84FC0">
        <w:t>The budget for investment interest f</w:t>
      </w:r>
      <w:r w:rsidR="00C27F94" w:rsidRPr="00B84FC0">
        <w:t>rom all sources is around £4.</w:t>
      </w:r>
      <w:r w:rsidR="00B84FC0" w:rsidRPr="00B84FC0">
        <w:t>3</w:t>
      </w:r>
      <w:r w:rsidRPr="00B84FC0">
        <w:t xml:space="preserve"> million per annum </w:t>
      </w:r>
      <w:r w:rsidR="00C27F94" w:rsidRPr="00B84FC0">
        <w:t xml:space="preserve">for 2022-23 </w:t>
      </w:r>
      <w:r w:rsidRPr="00B84FC0">
        <w:t>rising to £</w:t>
      </w:r>
      <w:r w:rsidR="00B84FC0" w:rsidRPr="00B84FC0">
        <w:t>6.3</w:t>
      </w:r>
      <w:r w:rsidRPr="00B84FC0">
        <w:t xml:space="preserve"> million over the next 4 years. Reserves and balances can also be ‘internally borrowed’ essentially deferring the need to borrow externally to meet capital commitments. Such borrowing is currently cheaper than accessing external borrowing sources such as the Public Works Loan Board (PWLB).</w:t>
      </w:r>
    </w:p>
    <w:p w:rsidR="00D073FF" w:rsidRPr="00D43B9F" w:rsidRDefault="00D073FF" w:rsidP="00D073FF">
      <w:pPr>
        <w:pStyle w:val="bParagraphtext"/>
        <w:tabs>
          <w:tab w:val="clear" w:pos="426"/>
        </w:tabs>
        <w:ind w:left="567"/>
        <w:rPr>
          <w:highlight w:val="yellow"/>
        </w:rPr>
      </w:pPr>
    </w:p>
    <w:p w:rsidR="00150DF7" w:rsidRPr="00344471" w:rsidRDefault="00150DF7" w:rsidP="00150DF7">
      <w:pPr>
        <w:rPr>
          <w:b/>
        </w:rPr>
      </w:pPr>
      <w:r w:rsidRPr="00344471">
        <w:rPr>
          <w:b/>
        </w:rPr>
        <w:t>Progress on the 20</w:t>
      </w:r>
      <w:r w:rsidR="00695C70" w:rsidRPr="00344471">
        <w:rPr>
          <w:b/>
        </w:rPr>
        <w:t>2</w:t>
      </w:r>
      <w:r w:rsidR="00582459" w:rsidRPr="00344471">
        <w:rPr>
          <w:b/>
        </w:rPr>
        <w:t>1</w:t>
      </w:r>
      <w:r w:rsidRPr="00344471">
        <w:rPr>
          <w:b/>
        </w:rPr>
        <w:t>/2</w:t>
      </w:r>
      <w:r w:rsidR="00582459" w:rsidRPr="00344471">
        <w:rPr>
          <w:b/>
        </w:rPr>
        <w:t>2</w:t>
      </w:r>
      <w:r w:rsidRPr="00344471">
        <w:rPr>
          <w:b/>
        </w:rPr>
        <w:t xml:space="preserve"> Budget</w:t>
      </w:r>
    </w:p>
    <w:p w:rsidR="00150DF7" w:rsidRPr="00344471" w:rsidRDefault="00150DF7" w:rsidP="004F7E55">
      <w:pPr>
        <w:pStyle w:val="bParagraphtext"/>
        <w:numPr>
          <w:ilvl w:val="0"/>
          <w:numId w:val="1"/>
        </w:numPr>
        <w:tabs>
          <w:tab w:val="clear" w:pos="426"/>
        </w:tabs>
        <w:ind w:left="567" w:hanging="567"/>
      </w:pPr>
      <w:r w:rsidRPr="00344471">
        <w:t xml:space="preserve">Budget monitoring for the </w:t>
      </w:r>
      <w:r w:rsidR="008B6E43" w:rsidRPr="00344471">
        <w:t>6 months</w:t>
      </w:r>
      <w:r w:rsidRPr="00344471">
        <w:t xml:space="preserve"> ending 31 December 20</w:t>
      </w:r>
      <w:r w:rsidR="00344471" w:rsidRPr="00344471">
        <w:t>21</w:t>
      </w:r>
      <w:r w:rsidRPr="00344471">
        <w:t xml:space="preserve"> indicates </w:t>
      </w:r>
      <w:r w:rsidR="00695C70" w:rsidRPr="00344471">
        <w:t>a</w:t>
      </w:r>
      <w:r w:rsidR="00344471" w:rsidRPr="00344471">
        <w:t>n outurn</w:t>
      </w:r>
      <w:r w:rsidR="00695C70" w:rsidRPr="00344471">
        <w:t xml:space="preserve"> budget deficit of £</w:t>
      </w:r>
      <w:r w:rsidR="00344471" w:rsidRPr="00344471">
        <w:t>0.300</w:t>
      </w:r>
      <w:r w:rsidR="00695C70" w:rsidRPr="00344471">
        <w:t xml:space="preserve"> million. </w:t>
      </w:r>
      <w:r w:rsidR="00344471" w:rsidRPr="00344471">
        <w:t>If outurn remains at this figure this deficit wi</w:t>
      </w:r>
      <w:r w:rsidR="00695C70" w:rsidRPr="00344471">
        <w:t xml:space="preserve">ll need to be met from reserves and balances referred to in this report. </w:t>
      </w:r>
      <w:r w:rsidR="00344471" w:rsidRPr="00344471">
        <w:t xml:space="preserve">Income losses from key income streams such as commercial rents, car parking and our wholly owned companies are included within the figure although there is some sense of these returning to normality which has been reflected in the revision of the Medium Term Financial Plan. </w:t>
      </w:r>
      <w:r w:rsidR="00B728A1" w:rsidRPr="00344471">
        <w:t>The Housing Revenue Account is expected to be in line with original budget.</w:t>
      </w:r>
    </w:p>
    <w:p w:rsidR="00150DF7" w:rsidRPr="001C534B" w:rsidRDefault="00150DF7" w:rsidP="00150DF7">
      <w:pPr>
        <w:rPr>
          <w:b/>
        </w:rPr>
      </w:pPr>
      <w:r w:rsidRPr="001C534B">
        <w:rPr>
          <w:b/>
        </w:rPr>
        <w:t xml:space="preserve">Conclusion </w:t>
      </w:r>
    </w:p>
    <w:p w:rsidR="00B15CD0" w:rsidRPr="00D16F0A" w:rsidRDefault="008B6E43" w:rsidP="004F7E55">
      <w:pPr>
        <w:pStyle w:val="bParagraphtext"/>
        <w:numPr>
          <w:ilvl w:val="0"/>
          <w:numId w:val="1"/>
        </w:numPr>
        <w:tabs>
          <w:tab w:val="clear" w:pos="426"/>
        </w:tabs>
        <w:ind w:left="567" w:hanging="567"/>
      </w:pPr>
      <w:r w:rsidRPr="00D16F0A">
        <w:t>I have reviewed the budget preparation process for 202</w:t>
      </w:r>
      <w:r w:rsidR="00D16F0A" w:rsidRPr="00D16F0A">
        <w:t>2</w:t>
      </w:r>
      <w:r w:rsidRPr="00D16F0A">
        <w:t>-2</w:t>
      </w:r>
      <w:r w:rsidR="00D16F0A" w:rsidRPr="00D16F0A">
        <w:t>3</w:t>
      </w:r>
      <w:r w:rsidRPr="00D16F0A">
        <w:t xml:space="preserve"> to 202</w:t>
      </w:r>
      <w:r w:rsidR="00D16F0A" w:rsidRPr="00D16F0A">
        <w:t>5</w:t>
      </w:r>
      <w:r w:rsidRPr="00D16F0A">
        <w:t>-2</w:t>
      </w:r>
      <w:r w:rsidR="00D16F0A" w:rsidRPr="00D16F0A">
        <w:t>6</w:t>
      </w:r>
      <w:r w:rsidRPr="00D16F0A">
        <w:t xml:space="preserve"> and the level of reserves and balances. The Council still faces significant financial </w:t>
      </w:r>
      <w:r w:rsidR="00B15CD0" w:rsidRPr="00D16F0A">
        <w:t xml:space="preserve">challenges in a number of areas including </w:t>
      </w:r>
    </w:p>
    <w:p w:rsidR="00B15CD0" w:rsidRPr="00D16F0A" w:rsidRDefault="008B6E43" w:rsidP="004F7E55">
      <w:pPr>
        <w:pStyle w:val="bParagraphtext"/>
        <w:numPr>
          <w:ilvl w:val="0"/>
          <w:numId w:val="9"/>
        </w:numPr>
        <w:ind w:hanging="513"/>
      </w:pPr>
      <w:r w:rsidRPr="00D16F0A">
        <w:rPr>
          <w:b/>
        </w:rPr>
        <w:t>Business Rates Retention</w:t>
      </w:r>
      <w:r w:rsidRPr="00D16F0A">
        <w:t xml:space="preserve"> </w:t>
      </w:r>
      <w:r w:rsidR="00B15CD0" w:rsidRPr="00D16F0A">
        <w:t xml:space="preserve">– although the Government have </w:t>
      </w:r>
      <w:r w:rsidR="00A1061E" w:rsidRPr="00D16F0A">
        <w:t>confirmed</w:t>
      </w:r>
      <w:r w:rsidR="00B15CD0" w:rsidRPr="00D16F0A">
        <w:t xml:space="preserve"> that fairer funding and business rates reset have been pushed back to 202</w:t>
      </w:r>
      <w:r w:rsidR="00D16F0A" w:rsidRPr="00D16F0A">
        <w:t>3</w:t>
      </w:r>
      <w:r w:rsidR="00B15CD0" w:rsidRPr="00D16F0A">
        <w:t xml:space="preserve">, it is still no clearer how this will </w:t>
      </w:r>
      <w:r w:rsidR="00FC4048" w:rsidRPr="00D16F0A">
        <w:t>a</w:t>
      </w:r>
      <w:r w:rsidR="00B15CD0" w:rsidRPr="00D16F0A">
        <w:t>ffect the authority</w:t>
      </w:r>
    </w:p>
    <w:p w:rsidR="00B15CD0" w:rsidRPr="00D43B9F" w:rsidRDefault="004F7E55" w:rsidP="004F7E55">
      <w:pPr>
        <w:pStyle w:val="bParagraphtext"/>
        <w:numPr>
          <w:ilvl w:val="0"/>
          <w:numId w:val="9"/>
        </w:numPr>
        <w:ind w:hanging="513"/>
        <w:rPr>
          <w:highlight w:val="yellow"/>
        </w:rPr>
      </w:pPr>
      <w:r w:rsidRPr="00D16F0A">
        <w:rPr>
          <w:b/>
        </w:rPr>
        <w:t>P</w:t>
      </w:r>
      <w:r w:rsidR="008B6E43" w:rsidRPr="00D16F0A">
        <w:rPr>
          <w:b/>
        </w:rPr>
        <w:t>ressures around income streams</w:t>
      </w:r>
      <w:r w:rsidR="008B6E43" w:rsidRPr="00D16F0A">
        <w:t xml:space="preserve"> especially </w:t>
      </w:r>
      <w:r w:rsidR="00695C70" w:rsidRPr="00D16F0A">
        <w:t>commercial rents brought about by the COVID 19 pandemic</w:t>
      </w:r>
      <w:r w:rsidR="008B6E43" w:rsidRPr="00D16F0A">
        <w:t xml:space="preserve">. </w:t>
      </w:r>
      <w:r w:rsidR="00695C70" w:rsidRPr="00D16F0A">
        <w:t xml:space="preserve">Prudent estimates have been made of the likely estimated position of these income streams with some such as commercial rents not considered to return to their pre COVID position for </w:t>
      </w:r>
      <w:r w:rsidR="00D16F0A" w:rsidRPr="00D16F0A">
        <w:t>a number</w:t>
      </w:r>
      <w:r w:rsidR="00695C70" w:rsidRPr="00D16F0A">
        <w:t xml:space="preserve"> years. </w:t>
      </w:r>
    </w:p>
    <w:p w:rsidR="00B15CD0" w:rsidRPr="00D16F0A" w:rsidRDefault="00B15CD0" w:rsidP="004F7E55">
      <w:pPr>
        <w:pStyle w:val="bParagraphtext"/>
        <w:numPr>
          <w:ilvl w:val="0"/>
          <w:numId w:val="9"/>
        </w:numPr>
        <w:ind w:hanging="513"/>
      </w:pPr>
      <w:r w:rsidRPr="00D16F0A">
        <w:rPr>
          <w:b/>
        </w:rPr>
        <w:t>The success of the council</w:t>
      </w:r>
      <w:r w:rsidR="00664A87" w:rsidRPr="00D16F0A">
        <w:rPr>
          <w:b/>
        </w:rPr>
        <w:t>’</w:t>
      </w:r>
      <w:r w:rsidRPr="00D16F0A">
        <w:rPr>
          <w:b/>
        </w:rPr>
        <w:t>s wholly owned companies</w:t>
      </w:r>
      <w:r w:rsidRPr="00D16F0A">
        <w:t xml:space="preserve"> will be key to its financial success with </w:t>
      </w:r>
      <w:r w:rsidR="00A1061E" w:rsidRPr="00D16F0A">
        <w:t>returns</w:t>
      </w:r>
      <w:r w:rsidRPr="00D16F0A">
        <w:t xml:space="preserve"> and dividend over the MTFS of around </w:t>
      </w:r>
      <w:r w:rsidR="00104892" w:rsidRPr="00D16F0A">
        <w:t>£37 million</w:t>
      </w:r>
      <w:r w:rsidRPr="00D16F0A">
        <w:t xml:space="preserve">. The </w:t>
      </w:r>
      <w:r w:rsidR="00104892" w:rsidRPr="00D16F0A">
        <w:t>performance</w:t>
      </w:r>
      <w:r w:rsidRPr="00D16F0A">
        <w:t xml:space="preserve"> of these companies will need to be closely </w:t>
      </w:r>
      <w:r w:rsidR="00104892" w:rsidRPr="00D16F0A">
        <w:t>monitored.</w:t>
      </w:r>
    </w:p>
    <w:p w:rsidR="00B15CD0" w:rsidRPr="00346115" w:rsidRDefault="00B15CD0" w:rsidP="004F7E55">
      <w:pPr>
        <w:pStyle w:val="bParagraphtext"/>
        <w:numPr>
          <w:ilvl w:val="0"/>
          <w:numId w:val="9"/>
        </w:numPr>
        <w:ind w:hanging="513"/>
      </w:pPr>
      <w:r w:rsidRPr="00D16F0A">
        <w:rPr>
          <w:b/>
        </w:rPr>
        <w:t>Transform</w:t>
      </w:r>
      <w:r w:rsidR="004F7E55" w:rsidRPr="00D16F0A">
        <w:rPr>
          <w:b/>
        </w:rPr>
        <w:t>ation efficiency changes</w:t>
      </w:r>
      <w:r w:rsidR="004F7E55" w:rsidRPr="00D16F0A">
        <w:t xml:space="preserve"> – the C</w:t>
      </w:r>
      <w:r w:rsidRPr="00D16F0A">
        <w:t>ouncils ambitious programme of transformation to drive out £</w:t>
      </w:r>
      <w:r w:rsidR="00D16F0A" w:rsidRPr="00D16F0A">
        <w:t>3</w:t>
      </w:r>
      <w:r w:rsidR="00104892" w:rsidRPr="00D16F0A">
        <w:t>.7 million o</w:t>
      </w:r>
      <w:r w:rsidRPr="00D16F0A">
        <w:t xml:space="preserve">f ongoing </w:t>
      </w:r>
      <w:r w:rsidR="00104892" w:rsidRPr="00D16F0A">
        <w:t>efficiency</w:t>
      </w:r>
      <w:r w:rsidRPr="00D16F0A">
        <w:t xml:space="preserve"> savings by 202</w:t>
      </w:r>
      <w:r w:rsidR="00D16F0A" w:rsidRPr="00D16F0A">
        <w:t>5</w:t>
      </w:r>
      <w:r w:rsidRPr="00D16F0A">
        <w:t>-</w:t>
      </w:r>
      <w:r w:rsidRPr="00346115">
        <w:t>2</w:t>
      </w:r>
      <w:r w:rsidR="00D16F0A" w:rsidRPr="00346115">
        <w:t>6</w:t>
      </w:r>
      <w:r w:rsidRPr="00346115">
        <w:t xml:space="preserve"> will need close </w:t>
      </w:r>
      <w:r w:rsidR="00104892" w:rsidRPr="00346115">
        <w:t>monitoring</w:t>
      </w:r>
      <w:r w:rsidRPr="00346115">
        <w:t xml:space="preserve"> </w:t>
      </w:r>
      <w:r w:rsidR="00D16F0A" w:rsidRPr="00346115">
        <w:t>t</w:t>
      </w:r>
      <w:r w:rsidRPr="00346115">
        <w:t xml:space="preserve">o </w:t>
      </w:r>
      <w:r w:rsidR="00104892" w:rsidRPr="00346115">
        <w:t>ensure</w:t>
      </w:r>
      <w:r w:rsidRPr="00346115">
        <w:t xml:space="preserve"> delivery. </w:t>
      </w:r>
    </w:p>
    <w:p w:rsidR="008B6E43" w:rsidRPr="000F395E" w:rsidRDefault="008B6E43" w:rsidP="004F7E55">
      <w:pPr>
        <w:pStyle w:val="bParagraphtext"/>
        <w:numPr>
          <w:ilvl w:val="0"/>
          <w:numId w:val="1"/>
        </w:numPr>
        <w:tabs>
          <w:tab w:val="clear" w:pos="426"/>
        </w:tabs>
        <w:ind w:left="567" w:hanging="567"/>
      </w:pPr>
      <w:r w:rsidRPr="00346115">
        <w:t xml:space="preserve">In relation to the HRA, there is a significant increase in borrowing to facilitate affordable housing purchases from the Council’s wholly owned company although </w:t>
      </w:r>
      <w:r w:rsidRPr="00346115">
        <w:lastRenderedPageBreak/>
        <w:t>analysis would suggest that these purchases are financially viable in terms of Internal Rate of Return</w:t>
      </w:r>
      <w:r w:rsidR="00D16F0A" w:rsidRPr="00346115">
        <w:t xml:space="preserve">, Payback and Net Present Value and following an external strategic review of the HRA Business Plan measures have been introduced to </w:t>
      </w:r>
      <w:r w:rsidR="00346115" w:rsidRPr="000F395E">
        <w:t xml:space="preserve">ensure that this borrowing remains affordable. </w:t>
      </w:r>
    </w:p>
    <w:p w:rsidR="00CA6029" w:rsidRPr="000F395E" w:rsidRDefault="00A1061E" w:rsidP="004F7E55">
      <w:pPr>
        <w:pStyle w:val="bParagraphtext"/>
        <w:numPr>
          <w:ilvl w:val="0"/>
          <w:numId w:val="1"/>
        </w:numPr>
        <w:tabs>
          <w:tab w:val="clear" w:pos="426"/>
        </w:tabs>
        <w:ind w:left="567" w:hanging="567"/>
      </w:pPr>
      <w:r w:rsidRPr="000F395E">
        <w:t xml:space="preserve">The level of </w:t>
      </w:r>
      <w:r w:rsidR="001C534B" w:rsidRPr="000F395E">
        <w:t xml:space="preserve">unringfenced </w:t>
      </w:r>
      <w:r w:rsidRPr="000F395E">
        <w:t>reserve</w:t>
      </w:r>
      <w:r w:rsidR="00346115" w:rsidRPr="000F395E">
        <w:t>s</w:t>
      </w:r>
      <w:r w:rsidRPr="000F395E">
        <w:t xml:space="preserve"> wi</w:t>
      </w:r>
      <w:r w:rsidR="00EF1F46" w:rsidRPr="000F395E">
        <w:t>l</w:t>
      </w:r>
      <w:r w:rsidRPr="000F395E">
        <w:t xml:space="preserve">l fall by </w:t>
      </w:r>
      <w:r w:rsidR="001C534B" w:rsidRPr="000F395E">
        <w:t>54</w:t>
      </w:r>
      <w:r w:rsidRPr="000F395E">
        <w:t>% between 202</w:t>
      </w:r>
      <w:r w:rsidR="001C534B" w:rsidRPr="000F395E">
        <w:t>1</w:t>
      </w:r>
      <w:r w:rsidRPr="000F395E">
        <w:t>-2</w:t>
      </w:r>
      <w:r w:rsidR="001C534B" w:rsidRPr="000F395E">
        <w:t>2</w:t>
      </w:r>
      <w:r w:rsidRPr="000F395E">
        <w:t xml:space="preserve"> and 202</w:t>
      </w:r>
      <w:r w:rsidR="001C534B" w:rsidRPr="000F395E">
        <w:t>2</w:t>
      </w:r>
      <w:r w:rsidRPr="000F395E">
        <w:t>-2</w:t>
      </w:r>
      <w:r w:rsidR="001C534B" w:rsidRPr="000F395E">
        <w:t>3</w:t>
      </w:r>
      <w:r w:rsidRPr="000F395E">
        <w:t xml:space="preserve"> </w:t>
      </w:r>
      <w:r w:rsidR="00E536BB">
        <w:t xml:space="preserve">from £35 million </w:t>
      </w:r>
      <w:r w:rsidRPr="000F395E">
        <w:t xml:space="preserve">to </w:t>
      </w:r>
      <w:r w:rsidR="00E536BB">
        <w:t xml:space="preserve">an estimated </w:t>
      </w:r>
      <w:r w:rsidRPr="000F395E">
        <w:t>amount of £</w:t>
      </w:r>
      <w:r w:rsidR="000F395E" w:rsidRPr="000F395E">
        <w:t>16</w:t>
      </w:r>
      <w:r w:rsidRPr="000F395E">
        <w:t xml:space="preserve"> million. </w:t>
      </w:r>
      <w:r w:rsidR="006F5838" w:rsidRPr="000F395E">
        <w:t>The use of reserves c</w:t>
      </w:r>
      <w:r w:rsidRPr="000F395E">
        <w:t xml:space="preserve">oupled, with prudent </w:t>
      </w:r>
      <w:r w:rsidR="006F5838" w:rsidRPr="000F395E">
        <w:t xml:space="preserve">robust </w:t>
      </w:r>
      <w:r w:rsidRPr="000F395E">
        <w:t>estimates</w:t>
      </w:r>
      <w:r w:rsidR="006F5838" w:rsidRPr="000F395E">
        <w:t xml:space="preserve"> whilst being a pragmatic way to protect services has </w:t>
      </w:r>
      <w:r w:rsidR="00CA6029" w:rsidRPr="000F395E">
        <w:t xml:space="preserve">impacted on </w:t>
      </w:r>
      <w:r w:rsidR="006F5838" w:rsidRPr="000F395E">
        <w:t xml:space="preserve">the financial stability of the Council.  This </w:t>
      </w:r>
      <w:r w:rsidR="00EF1F46" w:rsidRPr="000F395E">
        <w:t>has allowed the Council to reset its budget in a planned and structured manner unlike some councils who have implemented emerg</w:t>
      </w:r>
      <w:r w:rsidR="00B728A1" w:rsidRPr="000F395E">
        <w:t>ency budget resets underlying the importance of maintaining reserves at a sufficient level.</w:t>
      </w:r>
      <w:r w:rsidR="00EF1F46" w:rsidRPr="000F395E">
        <w:t xml:space="preserve"> </w:t>
      </w:r>
      <w:r w:rsidR="00E536BB">
        <w:t>Sufficient to say that the advice of the Councils Head of Financial Services is that there is no scope to draw further on reserves other than those planned in the MTFS.</w:t>
      </w:r>
    </w:p>
    <w:p w:rsidR="006F5838" w:rsidRPr="000F395E" w:rsidRDefault="00EF1F46" w:rsidP="004F7E55">
      <w:pPr>
        <w:pStyle w:val="bParagraphtext"/>
        <w:numPr>
          <w:ilvl w:val="0"/>
          <w:numId w:val="1"/>
        </w:numPr>
        <w:tabs>
          <w:tab w:val="clear" w:pos="426"/>
        </w:tabs>
        <w:ind w:left="567" w:hanging="567"/>
      </w:pPr>
      <w:r w:rsidRPr="000F395E">
        <w:t xml:space="preserve">The Head of Financial Services had always reinforced the need for reasonable levels of reserves especially given the </w:t>
      </w:r>
      <w:r w:rsidR="00344471">
        <w:t xml:space="preserve">risks around the </w:t>
      </w:r>
      <w:r w:rsidRPr="000F395E">
        <w:t>Oxford Model</w:t>
      </w:r>
      <w:r w:rsidR="00344471">
        <w:t xml:space="preserve">. Whilst the Oxford Model does </w:t>
      </w:r>
      <w:r w:rsidRPr="000F395E">
        <w:t xml:space="preserve">ensure </w:t>
      </w:r>
      <w:r w:rsidR="00344471">
        <w:t xml:space="preserve">that services are maintained in the face of reductions in Government </w:t>
      </w:r>
      <w:r w:rsidRPr="000F395E">
        <w:t>fund</w:t>
      </w:r>
      <w:r w:rsidR="00344471">
        <w:t>ing</w:t>
      </w:r>
      <w:r w:rsidRPr="000F395E">
        <w:t xml:space="preserve"> </w:t>
      </w:r>
      <w:r w:rsidR="00344471">
        <w:t xml:space="preserve">it does so by using </w:t>
      </w:r>
      <w:r w:rsidRPr="000F395E">
        <w:t>external</w:t>
      </w:r>
      <w:r w:rsidR="00344471">
        <w:t>ly</w:t>
      </w:r>
      <w:r w:rsidRPr="000F395E">
        <w:t xml:space="preserve"> generated income either from services provided </w:t>
      </w:r>
      <w:r w:rsidR="00344471">
        <w:t xml:space="preserve">by the Council </w:t>
      </w:r>
      <w:r w:rsidRPr="000F395E">
        <w:t xml:space="preserve">or from our wholly owned companies. The alternative is to reduce services and hence spend. </w:t>
      </w:r>
    </w:p>
    <w:p w:rsidR="00A1061E" w:rsidRPr="000F395E" w:rsidRDefault="00EF1F46" w:rsidP="004F7E55">
      <w:pPr>
        <w:pStyle w:val="bParagraphtext"/>
        <w:numPr>
          <w:ilvl w:val="0"/>
          <w:numId w:val="1"/>
        </w:numPr>
        <w:tabs>
          <w:tab w:val="clear" w:pos="426"/>
        </w:tabs>
        <w:ind w:left="567" w:hanging="567"/>
      </w:pPr>
      <w:r w:rsidRPr="000F395E">
        <w:t xml:space="preserve">Ideally </w:t>
      </w:r>
      <w:r w:rsidR="000F395E" w:rsidRPr="000F395E">
        <w:t>these reserves should c</w:t>
      </w:r>
      <w:r w:rsidRPr="000F395E">
        <w:t xml:space="preserve">onsider </w:t>
      </w:r>
      <w:r w:rsidR="00CA6029" w:rsidRPr="000F395E">
        <w:t>top</w:t>
      </w:r>
      <w:r w:rsidR="000F395E" w:rsidRPr="000F395E">
        <w:t>ping up</w:t>
      </w:r>
      <w:r w:rsidR="00CA6029" w:rsidRPr="000F395E">
        <w:t xml:space="preserve"> these </w:t>
      </w:r>
      <w:r w:rsidR="000F395E" w:rsidRPr="000F395E">
        <w:t xml:space="preserve">reserves </w:t>
      </w:r>
      <w:r w:rsidR="00CA6029" w:rsidRPr="000F395E">
        <w:t xml:space="preserve">as a first call should </w:t>
      </w:r>
      <w:r w:rsidRPr="000F395E">
        <w:t xml:space="preserve">surpluses </w:t>
      </w:r>
      <w:r w:rsidR="00CA6029" w:rsidRPr="000F395E">
        <w:t xml:space="preserve">in the revenue account become available, </w:t>
      </w:r>
      <w:r w:rsidRPr="000F395E">
        <w:t xml:space="preserve">to </w:t>
      </w:r>
      <w:r w:rsidR="006F5838" w:rsidRPr="000F395E">
        <w:t>strengthen its financial position</w:t>
      </w:r>
      <w:r w:rsidR="00CA6029" w:rsidRPr="000F395E">
        <w:t xml:space="preserve"> when it can</w:t>
      </w:r>
      <w:r w:rsidR="006F5838" w:rsidRPr="000F395E">
        <w:t>.</w:t>
      </w:r>
      <w:r w:rsidR="00E536BB">
        <w:t xml:space="preserve"> </w:t>
      </w:r>
    </w:p>
    <w:p w:rsidR="00346115" w:rsidRPr="000F395E" w:rsidRDefault="00346115" w:rsidP="00346115">
      <w:pPr>
        <w:pStyle w:val="bParagraphtext"/>
        <w:numPr>
          <w:ilvl w:val="0"/>
          <w:numId w:val="1"/>
        </w:numPr>
        <w:tabs>
          <w:tab w:val="clear" w:pos="426"/>
        </w:tabs>
        <w:ind w:left="567" w:hanging="567"/>
      </w:pPr>
      <w:r w:rsidRPr="000F395E">
        <w:t>Despite the issues highlighted above the Council has undertaken a rigorous process in its budget setting for the Medium Term and more specifically I would conclude that:</w:t>
      </w:r>
    </w:p>
    <w:p w:rsidR="00346115" w:rsidRPr="000F395E" w:rsidRDefault="00346115" w:rsidP="00346115">
      <w:pPr>
        <w:pStyle w:val="Bulletpoints"/>
        <w:tabs>
          <w:tab w:val="clear" w:pos="1134"/>
        </w:tabs>
        <w:ind w:left="993" w:hanging="426"/>
      </w:pPr>
      <w:r w:rsidRPr="000F395E">
        <w:t xml:space="preserve">The process for the formulation of General Fund, HRA and Capital budgets, together with the level of challenge, provides a reasonable assurance of their robustness. </w:t>
      </w:r>
    </w:p>
    <w:p w:rsidR="00346115" w:rsidRPr="00D43B9F" w:rsidRDefault="00346115" w:rsidP="00346115">
      <w:pPr>
        <w:pStyle w:val="Bulletpoints"/>
        <w:tabs>
          <w:tab w:val="clear" w:pos="1134"/>
        </w:tabs>
        <w:ind w:left="993" w:hanging="426"/>
        <w:rPr>
          <w:highlight w:val="yellow"/>
        </w:rPr>
      </w:pPr>
      <w:r w:rsidRPr="000F395E">
        <w:t>The approach which has been taken to those funding streams which are currently uncertain is prudent and puts the Council in a positive position to manage underlying pressures going forward based on current information</w:t>
      </w:r>
    </w:p>
    <w:p w:rsidR="000F395E" w:rsidRDefault="000F395E" w:rsidP="00CA6029">
      <w:pPr>
        <w:pStyle w:val="bParagraphtext"/>
        <w:rPr>
          <w:b/>
        </w:rPr>
      </w:pPr>
    </w:p>
    <w:p w:rsidR="00CA6029" w:rsidRPr="00F7484A" w:rsidRDefault="00CA6029" w:rsidP="00CA6029">
      <w:pPr>
        <w:pStyle w:val="bParagraphtext"/>
        <w:rPr>
          <w:b/>
        </w:rPr>
      </w:pPr>
      <w:r w:rsidRPr="00F7484A">
        <w:rPr>
          <w:b/>
        </w:rPr>
        <w:t>Financial Implications</w:t>
      </w:r>
    </w:p>
    <w:p w:rsidR="00CA6029" w:rsidRPr="00F7484A" w:rsidRDefault="00CA6029" w:rsidP="004F7E55">
      <w:pPr>
        <w:pStyle w:val="bParagraphtext"/>
        <w:numPr>
          <w:ilvl w:val="0"/>
          <w:numId w:val="1"/>
        </w:numPr>
        <w:tabs>
          <w:tab w:val="clear" w:pos="426"/>
        </w:tabs>
        <w:ind w:left="567" w:hanging="567"/>
      </w:pPr>
      <w:r w:rsidRPr="00F7484A">
        <w:t>These are covered within the report</w:t>
      </w:r>
    </w:p>
    <w:p w:rsidR="004F7E55" w:rsidRPr="00F7484A" w:rsidRDefault="004F7E55" w:rsidP="004F7E55">
      <w:pPr>
        <w:pStyle w:val="bParagraphtext"/>
        <w:tabs>
          <w:tab w:val="clear" w:pos="426"/>
        </w:tabs>
        <w:ind w:left="567"/>
      </w:pPr>
    </w:p>
    <w:p w:rsidR="00150DF7" w:rsidRPr="00F7484A" w:rsidRDefault="00150DF7" w:rsidP="00706293">
      <w:pPr>
        <w:pStyle w:val="Heading1"/>
      </w:pPr>
      <w:r w:rsidRPr="00F7484A">
        <w:t>Legal Implications</w:t>
      </w:r>
    </w:p>
    <w:p w:rsidR="00150DF7" w:rsidRPr="00F7484A" w:rsidRDefault="00150DF7" w:rsidP="004F7E55">
      <w:pPr>
        <w:pStyle w:val="bParagraphtext"/>
        <w:numPr>
          <w:ilvl w:val="0"/>
          <w:numId w:val="1"/>
        </w:numPr>
        <w:tabs>
          <w:tab w:val="clear" w:pos="426"/>
        </w:tabs>
        <w:ind w:left="567" w:hanging="567"/>
      </w:pPr>
      <w:r w:rsidRPr="00F7484A">
        <w:t>In addition to the obligation for the Chief Finance Officer to report under Section 25 of the Local Government Act 2003 set out in the purpose of this report, the provisions of the Local Government Finance Act 1992 set out what the Council has to base its budget calculations upon, and requires the Council to set a balanced budget having regard to the advice of its chief finance officer (section 151).</w:t>
      </w:r>
    </w:p>
    <w:p w:rsidR="004F7E55" w:rsidRPr="00F7484A" w:rsidRDefault="004F7E55" w:rsidP="004F7E55">
      <w:pPr>
        <w:pStyle w:val="bParagraphtext"/>
        <w:tabs>
          <w:tab w:val="clear" w:pos="426"/>
        </w:tabs>
        <w:ind w:left="567"/>
      </w:pPr>
    </w:p>
    <w:p w:rsidR="00150DF7" w:rsidRPr="00F7484A" w:rsidRDefault="00150DF7" w:rsidP="00706293">
      <w:pPr>
        <w:pStyle w:val="Heading1"/>
      </w:pPr>
      <w:r w:rsidRPr="00F7484A">
        <w:t>Risk Implications</w:t>
      </w:r>
    </w:p>
    <w:p w:rsidR="00871A9A" w:rsidRPr="00F7484A" w:rsidRDefault="00150DF7" w:rsidP="00C738F6">
      <w:pPr>
        <w:pStyle w:val="bParagraphtext"/>
        <w:numPr>
          <w:ilvl w:val="0"/>
          <w:numId w:val="1"/>
        </w:numPr>
        <w:tabs>
          <w:tab w:val="clear" w:pos="426"/>
        </w:tabs>
        <w:ind w:left="567" w:hanging="567"/>
      </w:pPr>
      <w:r w:rsidRPr="00F7484A">
        <w:lastRenderedPageBreak/>
        <w:t>An analysis of ‘Key Risks’ is shown in the main Budget report elsewhere on the agenda</w:t>
      </w:r>
      <w:r w:rsidR="00871A9A" w:rsidRPr="00F7484A">
        <w:t>. They are key factors to take into account when determining the level of reserves that the authority should retain</w:t>
      </w:r>
    </w:p>
    <w:p w:rsidR="004F7E55" w:rsidRPr="00F7484A" w:rsidRDefault="00150DF7" w:rsidP="00871A9A">
      <w:pPr>
        <w:pStyle w:val="bParagraphtext"/>
        <w:tabs>
          <w:tab w:val="clear" w:pos="426"/>
        </w:tabs>
        <w:ind w:left="567"/>
      </w:pPr>
      <w:r w:rsidRPr="00F7484A">
        <w:t xml:space="preserve"> </w:t>
      </w:r>
    </w:p>
    <w:p w:rsidR="004F7E55" w:rsidRPr="00F7484A" w:rsidRDefault="004F7E55" w:rsidP="004F7E55">
      <w:pPr>
        <w:pStyle w:val="bParagraphtext"/>
        <w:tabs>
          <w:tab w:val="clear" w:pos="426"/>
        </w:tabs>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14456E" w:rsidRPr="00F7484A" w:rsidTr="005070E3">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14456E" w:rsidRPr="00F7484A" w:rsidRDefault="0014456E" w:rsidP="005070E3">
            <w:pPr>
              <w:rPr>
                <w:b/>
              </w:rPr>
            </w:pPr>
            <w:r w:rsidRPr="00F7484A">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14456E" w:rsidRPr="00F7484A" w:rsidRDefault="0014456E" w:rsidP="005070E3">
            <w:r w:rsidRPr="00F7484A">
              <w:t>Nigel Kennedy</w:t>
            </w:r>
          </w:p>
        </w:tc>
      </w:tr>
      <w:tr w:rsidR="0014456E" w:rsidRPr="00F7484A" w:rsidTr="005070E3">
        <w:trPr>
          <w:cantSplit/>
          <w:trHeight w:val="396"/>
        </w:trPr>
        <w:tc>
          <w:tcPr>
            <w:tcW w:w="3969" w:type="dxa"/>
            <w:tcBorders>
              <w:top w:val="single" w:sz="8" w:space="0" w:color="000000"/>
              <w:left w:val="single" w:sz="8" w:space="0" w:color="000000"/>
              <w:bottom w:val="nil"/>
              <w:right w:val="nil"/>
            </w:tcBorders>
            <w:shd w:val="clear" w:color="auto" w:fill="auto"/>
          </w:tcPr>
          <w:p w:rsidR="0014456E" w:rsidRPr="00F7484A" w:rsidRDefault="0014456E" w:rsidP="005070E3">
            <w:r w:rsidRPr="00F7484A">
              <w:t>Job title</w:t>
            </w:r>
          </w:p>
        </w:tc>
        <w:tc>
          <w:tcPr>
            <w:tcW w:w="4962" w:type="dxa"/>
            <w:tcBorders>
              <w:top w:val="single" w:sz="8" w:space="0" w:color="000000"/>
              <w:left w:val="nil"/>
              <w:bottom w:val="nil"/>
              <w:right w:val="single" w:sz="8" w:space="0" w:color="000000"/>
            </w:tcBorders>
            <w:shd w:val="clear" w:color="auto" w:fill="auto"/>
          </w:tcPr>
          <w:p w:rsidR="0014456E" w:rsidRPr="00F7484A" w:rsidRDefault="0014456E" w:rsidP="005070E3">
            <w:r w:rsidRPr="00F7484A">
              <w:t>Head of Financial Services</w:t>
            </w:r>
          </w:p>
        </w:tc>
      </w:tr>
      <w:tr w:rsidR="0014456E" w:rsidRPr="00F7484A" w:rsidTr="005070E3">
        <w:trPr>
          <w:cantSplit/>
          <w:trHeight w:val="396"/>
        </w:trPr>
        <w:tc>
          <w:tcPr>
            <w:tcW w:w="3969" w:type="dxa"/>
            <w:tcBorders>
              <w:top w:val="nil"/>
              <w:left w:val="single" w:sz="8" w:space="0" w:color="000000"/>
              <w:bottom w:val="nil"/>
              <w:right w:val="nil"/>
            </w:tcBorders>
            <w:shd w:val="clear" w:color="auto" w:fill="auto"/>
          </w:tcPr>
          <w:p w:rsidR="0014456E" w:rsidRPr="00F7484A" w:rsidRDefault="0014456E" w:rsidP="005070E3">
            <w:r w:rsidRPr="00F7484A">
              <w:t>Service area or department</w:t>
            </w:r>
          </w:p>
        </w:tc>
        <w:tc>
          <w:tcPr>
            <w:tcW w:w="4962" w:type="dxa"/>
            <w:tcBorders>
              <w:top w:val="nil"/>
              <w:left w:val="nil"/>
              <w:bottom w:val="nil"/>
              <w:right w:val="single" w:sz="8" w:space="0" w:color="000000"/>
            </w:tcBorders>
            <w:shd w:val="clear" w:color="auto" w:fill="auto"/>
          </w:tcPr>
          <w:p w:rsidR="0014456E" w:rsidRPr="00F7484A" w:rsidRDefault="0014456E" w:rsidP="005070E3">
            <w:r w:rsidRPr="00F7484A">
              <w:t>Finance</w:t>
            </w:r>
          </w:p>
        </w:tc>
      </w:tr>
      <w:tr w:rsidR="0014456E" w:rsidRPr="00F7484A" w:rsidTr="005070E3">
        <w:trPr>
          <w:cantSplit/>
          <w:trHeight w:val="396"/>
        </w:trPr>
        <w:tc>
          <w:tcPr>
            <w:tcW w:w="3969" w:type="dxa"/>
            <w:tcBorders>
              <w:top w:val="nil"/>
              <w:left w:val="single" w:sz="8" w:space="0" w:color="000000"/>
              <w:bottom w:val="nil"/>
              <w:right w:val="nil"/>
            </w:tcBorders>
            <w:shd w:val="clear" w:color="auto" w:fill="auto"/>
          </w:tcPr>
          <w:p w:rsidR="0014456E" w:rsidRPr="00F7484A" w:rsidRDefault="0014456E" w:rsidP="005070E3">
            <w:r w:rsidRPr="00F7484A">
              <w:t xml:space="preserve">Telephone </w:t>
            </w:r>
          </w:p>
        </w:tc>
        <w:tc>
          <w:tcPr>
            <w:tcW w:w="4962" w:type="dxa"/>
            <w:tcBorders>
              <w:top w:val="nil"/>
              <w:left w:val="nil"/>
              <w:bottom w:val="nil"/>
              <w:right w:val="single" w:sz="8" w:space="0" w:color="000000"/>
            </w:tcBorders>
            <w:shd w:val="clear" w:color="auto" w:fill="auto"/>
          </w:tcPr>
          <w:p w:rsidR="0014456E" w:rsidRPr="00F7484A" w:rsidRDefault="0014456E" w:rsidP="005070E3">
            <w:r w:rsidRPr="00F7484A">
              <w:t xml:space="preserve">01865 252708 </w:t>
            </w:r>
          </w:p>
        </w:tc>
      </w:tr>
      <w:tr w:rsidR="0014456E" w:rsidRPr="00F7484A" w:rsidTr="005070E3">
        <w:trPr>
          <w:cantSplit/>
          <w:trHeight w:val="396"/>
        </w:trPr>
        <w:tc>
          <w:tcPr>
            <w:tcW w:w="3969" w:type="dxa"/>
            <w:tcBorders>
              <w:top w:val="nil"/>
              <w:left w:val="single" w:sz="8" w:space="0" w:color="000000"/>
              <w:bottom w:val="single" w:sz="8" w:space="0" w:color="000000"/>
              <w:right w:val="nil"/>
            </w:tcBorders>
            <w:shd w:val="clear" w:color="auto" w:fill="auto"/>
          </w:tcPr>
          <w:p w:rsidR="0014456E" w:rsidRPr="00F7484A" w:rsidRDefault="0014456E" w:rsidP="005070E3">
            <w:r w:rsidRPr="00F7484A">
              <w:t xml:space="preserve">e-mail </w:t>
            </w:r>
          </w:p>
        </w:tc>
        <w:tc>
          <w:tcPr>
            <w:tcW w:w="4962" w:type="dxa"/>
            <w:tcBorders>
              <w:top w:val="nil"/>
              <w:left w:val="nil"/>
              <w:bottom w:val="single" w:sz="8" w:space="0" w:color="000000"/>
              <w:right w:val="single" w:sz="8" w:space="0" w:color="000000"/>
            </w:tcBorders>
            <w:shd w:val="clear" w:color="auto" w:fill="auto"/>
          </w:tcPr>
          <w:p w:rsidR="0014456E" w:rsidRPr="00F7484A" w:rsidRDefault="0014456E" w:rsidP="005070E3">
            <w:r w:rsidRPr="00F7484A">
              <w:t xml:space="preserve">nkennedy@oxford.gov.uk </w:t>
            </w:r>
          </w:p>
        </w:tc>
      </w:tr>
    </w:tbl>
    <w:p w:rsidR="00544682" w:rsidRDefault="00544682" w:rsidP="00871A9A">
      <w:pPr>
        <w:pStyle w:val="Heading1"/>
        <w:jc w:val="right"/>
        <w:rPr>
          <w:highlight w:val="yellow"/>
        </w:rPr>
      </w:pPr>
    </w:p>
    <w:p w:rsidR="00150DF7" w:rsidRDefault="00150DF7" w:rsidP="00544682">
      <w:pPr>
        <w:rPr>
          <w:highlight w:val="yellow"/>
          <w:lang w:eastAsia="en-US"/>
        </w:rPr>
      </w:pPr>
    </w:p>
    <w:p w:rsidR="00544682" w:rsidRDefault="00544682" w:rsidP="00544682">
      <w:pPr>
        <w:rPr>
          <w:highlight w:val="yellow"/>
          <w:lang w:eastAsia="en-US"/>
        </w:rPr>
      </w:pPr>
    </w:p>
    <w:p w:rsidR="00544682" w:rsidRPr="00544682" w:rsidRDefault="00544682" w:rsidP="00544682">
      <w:pPr>
        <w:rPr>
          <w:highlight w:val="yellow"/>
          <w:lang w:eastAsia="en-US"/>
        </w:rPr>
      </w:pPr>
    </w:p>
    <w:p w:rsidR="00871A9A" w:rsidRPr="00D43B9F" w:rsidRDefault="00871A9A" w:rsidP="00163877">
      <w:pPr>
        <w:rPr>
          <w:highlight w:val="yellow"/>
          <w:lang w:eastAsia="en-US"/>
        </w:rPr>
      </w:pPr>
    </w:p>
    <w:p w:rsidR="00163877" w:rsidRPr="00D43B9F" w:rsidRDefault="001C534B" w:rsidP="00163877">
      <w:pPr>
        <w:rPr>
          <w:highlight w:val="yellow"/>
          <w:lang w:eastAsia="en-US"/>
        </w:rPr>
      </w:pPr>
      <w:r w:rsidRPr="001C534B">
        <w:rPr>
          <w:noProof/>
          <w:highlight w:val="yellow"/>
        </w:rPr>
        <w:lastRenderedPageBreak/>
        <w:drawing>
          <wp:inline distT="0" distB="0" distL="0" distR="0" wp14:anchorId="1F34AD5E" wp14:editId="1D31CC9F">
            <wp:extent cx="5904230" cy="9059813"/>
            <wp:effectExtent l="0" t="0" r="127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4230" cy="9059813"/>
                    </a:xfrm>
                    <a:prstGeom prst="rect">
                      <a:avLst/>
                    </a:prstGeom>
                    <a:noFill/>
                    <a:ln>
                      <a:noFill/>
                    </a:ln>
                  </pic:spPr>
                </pic:pic>
              </a:graphicData>
            </a:graphic>
          </wp:inline>
        </w:drawing>
      </w:r>
    </w:p>
    <w:p w:rsidR="00150DF7" w:rsidRPr="00D43B9F" w:rsidRDefault="001C534B" w:rsidP="00150DF7">
      <w:pPr>
        <w:rPr>
          <w:highlight w:val="yellow"/>
        </w:rPr>
      </w:pPr>
      <w:r w:rsidRPr="001C534B">
        <w:rPr>
          <w:noProof/>
          <w:highlight w:val="yellow"/>
        </w:rPr>
        <w:lastRenderedPageBreak/>
        <w:drawing>
          <wp:inline distT="0" distB="0" distL="0" distR="0" wp14:anchorId="1DB3CE68" wp14:editId="11C818EC">
            <wp:extent cx="5904230" cy="2207384"/>
            <wp:effectExtent l="0" t="0" r="127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4230" cy="2207384"/>
                    </a:xfrm>
                    <a:prstGeom prst="rect">
                      <a:avLst/>
                    </a:prstGeom>
                    <a:noFill/>
                    <a:ln>
                      <a:noFill/>
                    </a:ln>
                  </pic:spPr>
                </pic:pic>
              </a:graphicData>
            </a:graphic>
          </wp:inline>
        </w:drawing>
      </w:r>
    </w:p>
    <w:p w:rsidR="00163877" w:rsidRPr="00D43B9F" w:rsidRDefault="00163877" w:rsidP="00150DF7">
      <w:pPr>
        <w:rPr>
          <w:highlight w:val="yellow"/>
        </w:rPr>
      </w:pPr>
    </w:p>
    <w:p w:rsidR="00163877" w:rsidRPr="00D43B9F" w:rsidRDefault="00163877" w:rsidP="00150DF7">
      <w:pPr>
        <w:rPr>
          <w:highlight w:val="yellow"/>
        </w:rPr>
      </w:pPr>
    </w:p>
    <w:p w:rsidR="00163877" w:rsidRPr="00D43B9F" w:rsidRDefault="00163877" w:rsidP="00150DF7">
      <w:pPr>
        <w:rPr>
          <w:highlight w:val="yellow"/>
        </w:rPr>
      </w:pPr>
    </w:p>
    <w:p w:rsidR="00163877" w:rsidRPr="00D43B9F" w:rsidRDefault="00163877" w:rsidP="00150DF7">
      <w:pPr>
        <w:rPr>
          <w:highlight w:val="yellow"/>
        </w:rPr>
      </w:pPr>
    </w:p>
    <w:p w:rsidR="00163877" w:rsidRPr="00D43B9F" w:rsidRDefault="00163877" w:rsidP="00150DF7">
      <w:pPr>
        <w:rPr>
          <w:highlight w:val="yellow"/>
        </w:rPr>
      </w:pPr>
    </w:p>
    <w:p w:rsidR="00163877" w:rsidRPr="00D43B9F" w:rsidRDefault="00163877" w:rsidP="00150DF7">
      <w:pPr>
        <w:rPr>
          <w:highlight w:val="yellow"/>
        </w:rPr>
      </w:pPr>
    </w:p>
    <w:p w:rsidR="00163877" w:rsidRPr="00D43B9F" w:rsidRDefault="00163877" w:rsidP="00150DF7">
      <w:pPr>
        <w:rPr>
          <w:highlight w:val="yellow"/>
        </w:rPr>
      </w:pPr>
    </w:p>
    <w:p w:rsidR="00163877" w:rsidRPr="00D43B9F" w:rsidRDefault="00163877" w:rsidP="00150DF7">
      <w:pPr>
        <w:rPr>
          <w:highlight w:val="yellow"/>
        </w:rPr>
      </w:pPr>
    </w:p>
    <w:p w:rsidR="00163877" w:rsidRPr="00D43B9F" w:rsidRDefault="00163877" w:rsidP="00150DF7">
      <w:pPr>
        <w:rPr>
          <w:highlight w:val="yellow"/>
        </w:rPr>
      </w:pPr>
    </w:p>
    <w:p w:rsidR="00163877" w:rsidRPr="00D43B9F" w:rsidRDefault="00163877" w:rsidP="00150DF7">
      <w:pPr>
        <w:rPr>
          <w:highlight w:val="yellow"/>
        </w:rPr>
      </w:pPr>
    </w:p>
    <w:p w:rsidR="00163877" w:rsidRPr="00D43B9F" w:rsidRDefault="00163877" w:rsidP="00150DF7">
      <w:pPr>
        <w:rPr>
          <w:highlight w:val="yellow"/>
        </w:rPr>
      </w:pPr>
    </w:p>
    <w:p w:rsidR="00163877" w:rsidRPr="00D43B9F" w:rsidRDefault="00163877" w:rsidP="00150DF7">
      <w:pPr>
        <w:rPr>
          <w:highlight w:val="yellow"/>
        </w:rPr>
      </w:pPr>
    </w:p>
    <w:p w:rsidR="00163877" w:rsidRPr="00D43B9F" w:rsidRDefault="00163877" w:rsidP="00150DF7">
      <w:pPr>
        <w:rPr>
          <w:highlight w:val="yellow"/>
        </w:rPr>
      </w:pPr>
    </w:p>
    <w:p w:rsidR="00163877" w:rsidRPr="00D43B9F" w:rsidRDefault="00163877" w:rsidP="00150DF7">
      <w:pPr>
        <w:rPr>
          <w:highlight w:val="yellow"/>
        </w:rPr>
      </w:pPr>
    </w:p>
    <w:p w:rsidR="00163877" w:rsidRPr="00D43B9F" w:rsidRDefault="00163877" w:rsidP="00150DF7">
      <w:pPr>
        <w:rPr>
          <w:highlight w:val="yellow"/>
        </w:rPr>
      </w:pPr>
    </w:p>
    <w:p w:rsidR="00163877" w:rsidRPr="00D43B9F" w:rsidRDefault="00163877" w:rsidP="00150DF7">
      <w:pPr>
        <w:rPr>
          <w:highlight w:val="yellow"/>
        </w:rPr>
      </w:pPr>
      <w:r w:rsidRPr="00D43B9F">
        <w:rPr>
          <w:noProof/>
          <w:highlight w:val="yellow"/>
        </w:rPr>
        <w:lastRenderedPageBreak/>
        <w:drawing>
          <wp:inline distT="0" distB="0" distL="0" distR="0" wp14:anchorId="04A43F5F" wp14:editId="2C1FDC94">
            <wp:extent cx="5904230" cy="6984026"/>
            <wp:effectExtent l="0" t="0" r="127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230" cy="6984026"/>
                    </a:xfrm>
                    <a:prstGeom prst="rect">
                      <a:avLst/>
                    </a:prstGeom>
                    <a:noFill/>
                    <a:ln>
                      <a:noFill/>
                    </a:ln>
                  </pic:spPr>
                </pic:pic>
              </a:graphicData>
            </a:graphic>
          </wp:inline>
        </w:drawing>
      </w:r>
    </w:p>
    <w:p w:rsidR="00163877" w:rsidRPr="00D43B9F" w:rsidRDefault="00163877" w:rsidP="00150DF7">
      <w:pPr>
        <w:rPr>
          <w:highlight w:val="yellow"/>
        </w:rPr>
      </w:pPr>
    </w:p>
    <w:sectPr w:rsidR="00163877" w:rsidRPr="00D43B9F" w:rsidSect="00BC5EA3">
      <w:headerReference w:type="default" r:id="rId13"/>
      <w:footerReference w:type="even" r:id="rId14"/>
      <w:footerReference w:type="default" r:id="rId15"/>
      <w:footerReference w:type="first" r:id="rId16"/>
      <w:pgSz w:w="11906" w:h="16838" w:code="9"/>
      <w:pgMar w:top="1418" w:right="1304" w:bottom="1304" w:left="1304"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7C0" w:rsidRDefault="007C67C0" w:rsidP="004A6D2F">
      <w:r>
        <w:separator/>
      </w:r>
    </w:p>
  </w:endnote>
  <w:endnote w:type="continuationSeparator" w:id="0">
    <w:p w:rsidR="007C67C0" w:rsidRDefault="007C67C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30A" w:rsidRDefault="004E430A" w:rsidP="004A6D2F">
    <w:pPr>
      <w:pStyle w:val="Footer"/>
    </w:pPr>
    <w:r>
      <w:t>Do not use a footer or page numbers.</w:t>
    </w:r>
  </w:p>
  <w:p w:rsidR="004E430A" w:rsidRDefault="004E430A" w:rsidP="004A6D2F">
    <w:pPr>
      <w:pStyle w:val="Footer"/>
    </w:pPr>
  </w:p>
  <w:p w:rsidR="004E430A" w:rsidRDefault="004E430A"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466433"/>
      <w:docPartObj>
        <w:docPartGallery w:val="Page Numbers (Bottom of Page)"/>
        <w:docPartUnique/>
      </w:docPartObj>
    </w:sdtPr>
    <w:sdtEndPr>
      <w:rPr>
        <w:noProof/>
      </w:rPr>
    </w:sdtEndPr>
    <w:sdtContent>
      <w:p w:rsidR="00CA6029" w:rsidRDefault="00CA6029">
        <w:pPr>
          <w:pStyle w:val="Footer"/>
          <w:jc w:val="center"/>
        </w:pPr>
        <w:r>
          <w:fldChar w:fldCharType="begin"/>
        </w:r>
        <w:r>
          <w:instrText xml:space="preserve"> PAGE   \* MERGEFORMAT </w:instrText>
        </w:r>
        <w:r>
          <w:fldChar w:fldCharType="separate"/>
        </w:r>
        <w:r w:rsidR="0057406F">
          <w:rPr>
            <w:noProof/>
          </w:rPr>
          <w:t>1</w:t>
        </w:r>
        <w:r>
          <w:rPr>
            <w:noProof/>
          </w:rPr>
          <w:fldChar w:fldCharType="end"/>
        </w:r>
      </w:p>
    </w:sdtContent>
  </w:sdt>
  <w:p w:rsidR="00CA6029" w:rsidRDefault="00CA60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30A" w:rsidRDefault="004E430A"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7C0" w:rsidRDefault="007C67C0" w:rsidP="004A6D2F">
      <w:r>
        <w:separator/>
      </w:r>
    </w:p>
  </w:footnote>
  <w:footnote w:type="continuationSeparator" w:id="0">
    <w:p w:rsidR="007C67C0" w:rsidRDefault="007C67C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E6" w:rsidRPr="00D077E6" w:rsidRDefault="00D077E6" w:rsidP="00D077E6">
    <w:pPr>
      <w:pStyle w:val="Header"/>
      <w:jc w:val="right"/>
      <w:rPr>
        <w:sz w:val="28"/>
        <w:szCs w:val="28"/>
      </w:rPr>
    </w:pPr>
  </w:p>
  <w:p w:rsidR="00D077E6" w:rsidRDefault="00D077E6" w:rsidP="00D077E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563EDB94"/>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125D2A"/>
    <w:multiLevelType w:val="hybridMultilevel"/>
    <w:tmpl w:val="D66C97E8"/>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980FC5"/>
    <w:multiLevelType w:val="hybridMultilevel"/>
    <w:tmpl w:val="EE328972"/>
    <w:lvl w:ilvl="0" w:tplc="08AA9D2C">
      <w:start w:val="1"/>
      <w:numFmt w:val="bullet"/>
      <w:pStyle w:val="Bulletpoints"/>
      <w:lvlText w:val=""/>
      <w:lvlJc w:val="left"/>
      <w:pPr>
        <w:ind w:left="1080" w:hanging="360"/>
      </w:pPr>
      <w:rPr>
        <w:rFonts w:ascii="Symbol" w:hAnsi="Symbol" w:hint="default"/>
      </w:rPr>
    </w:lvl>
    <w:lvl w:ilvl="1" w:tplc="9C54C732">
      <w:numFmt w:val="bullet"/>
      <w:lvlText w:val="•"/>
      <w:lvlJc w:val="left"/>
      <w:pPr>
        <w:ind w:left="1860" w:hanging="420"/>
      </w:pPr>
      <w:rPr>
        <w:rFonts w:ascii="Arial" w:eastAsia="Times New Roman" w:hAnsi="Arial" w:cs="Arial" w:hint="default"/>
      </w:rPr>
    </w:lvl>
    <w:lvl w:ilvl="2" w:tplc="0809001B">
      <w:start w:val="1"/>
      <w:numFmt w:val="lowerRoman"/>
      <w:lvlText w:val="%3."/>
      <w:lvlJc w:val="right"/>
      <w:pPr>
        <w:ind w:left="2520" w:hanging="180"/>
      </w:pPr>
    </w:lvl>
    <w:lvl w:ilvl="3" w:tplc="2CF4DAA2">
      <w:start w:val="4"/>
      <w:numFmt w:val="decimal"/>
      <w:lvlText w:val="%4"/>
      <w:lvlJc w:val="left"/>
      <w:pPr>
        <w:ind w:left="3240" w:hanging="36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B97891"/>
    <w:multiLevelType w:val="hybridMultilevel"/>
    <w:tmpl w:val="3E1647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3B352083"/>
    <w:multiLevelType w:val="hybridMultilevel"/>
    <w:tmpl w:val="3A3C631C"/>
    <w:lvl w:ilvl="0" w:tplc="08090001">
      <w:start w:val="1"/>
      <w:numFmt w:val="bullet"/>
      <w:lvlText w:val=""/>
      <w:lvlJc w:val="left"/>
      <w:pPr>
        <w:ind w:left="2424" w:hanging="360"/>
      </w:pPr>
      <w:rPr>
        <w:rFonts w:ascii="Symbol" w:hAnsi="Symbol" w:hint="default"/>
      </w:rPr>
    </w:lvl>
    <w:lvl w:ilvl="1" w:tplc="08090003">
      <w:start w:val="1"/>
      <w:numFmt w:val="bullet"/>
      <w:lvlText w:val="o"/>
      <w:lvlJc w:val="left"/>
      <w:pPr>
        <w:ind w:left="3144" w:hanging="360"/>
      </w:pPr>
      <w:rPr>
        <w:rFonts w:ascii="Courier New" w:hAnsi="Courier New" w:cs="Courier New" w:hint="default"/>
      </w:rPr>
    </w:lvl>
    <w:lvl w:ilvl="2" w:tplc="08090005">
      <w:start w:val="1"/>
      <w:numFmt w:val="bullet"/>
      <w:lvlText w:val=""/>
      <w:lvlJc w:val="left"/>
      <w:pPr>
        <w:ind w:left="3864" w:hanging="360"/>
      </w:pPr>
      <w:rPr>
        <w:rFonts w:ascii="Wingdings" w:hAnsi="Wingdings" w:hint="default"/>
      </w:rPr>
    </w:lvl>
    <w:lvl w:ilvl="3" w:tplc="08090001">
      <w:start w:val="1"/>
      <w:numFmt w:val="bullet"/>
      <w:lvlText w:val=""/>
      <w:lvlJc w:val="left"/>
      <w:pPr>
        <w:ind w:left="4584" w:hanging="360"/>
      </w:pPr>
      <w:rPr>
        <w:rFonts w:ascii="Symbol" w:hAnsi="Symbol" w:hint="default"/>
      </w:rPr>
    </w:lvl>
    <w:lvl w:ilvl="4" w:tplc="08090003">
      <w:start w:val="1"/>
      <w:numFmt w:val="bullet"/>
      <w:lvlText w:val="o"/>
      <w:lvlJc w:val="left"/>
      <w:pPr>
        <w:ind w:left="5304" w:hanging="360"/>
      </w:pPr>
      <w:rPr>
        <w:rFonts w:ascii="Courier New" w:hAnsi="Courier New" w:cs="Courier New" w:hint="default"/>
      </w:rPr>
    </w:lvl>
    <w:lvl w:ilvl="5" w:tplc="08090005">
      <w:start w:val="1"/>
      <w:numFmt w:val="bullet"/>
      <w:lvlText w:val=""/>
      <w:lvlJc w:val="left"/>
      <w:pPr>
        <w:ind w:left="6024" w:hanging="360"/>
      </w:pPr>
      <w:rPr>
        <w:rFonts w:ascii="Wingdings" w:hAnsi="Wingdings" w:hint="default"/>
      </w:rPr>
    </w:lvl>
    <w:lvl w:ilvl="6" w:tplc="08090001">
      <w:start w:val="1"/>
      <w:numFmt w:val="bullet"/>
      <w:lvlText w:val=""/>
      <w:lvlJc w:val="left"/>
      <w:pPr>
        <w:ind w:left="6744" w:hanging="360"/>
      </w:pPr>
      <w:rPr>
        <w:rFonts w:ascii="Symbol" w:hAnsi="Symbol" w:hint="default"/>
      </w:rPr>
    </w:lvl>
    <w:lvl w:ilvl="7" w:tplc="08090003">
      <w:start w:val="1"/>
      <w:numFmt w:val="bullet"/>
      <w:lvlText w:val="o"/>
      <w:lvlJc w:val="left"/>
      <w:pPr>
        <w:ind w:left="7464" w:hanging="360"/>
      </w:pPr>
      <w:rPr>
        <w:rFonts w:ascii="Courier New" w:hAnsi="Courier New" w:cs="Courier New" w:hint="default"/>
      </w:rPr>
    </w:lvl>
    <w:lvl w:ilvl="8" w:tplc="08090005">
      <w:start w:val="1"/>
      <w:numFmt w:val="bullet"/>
      <w:lvlText w:val=""/>
      <w:lvlJc w:val="left"/>
      <w:pPr>
        <w:ind w:left="8184" w:hanging="360"/>
      </w:pPr>
      <w:rPr>
        <w:rFonts w:ascii="Wingdings" w:hAnsi="Wingdings" w:hint="default"/>
      </w:rPr>
    </w:lvl>
  </w:abstractNum>
  <w:abstractNum w:abstractNumId="6" w15:restartNumberingAfterBreak="0">
    <w:nsid w:val="5109030C"/>
    <w:multiLevelType w:val="hybridMultilevel"/>
    <w:tmpl w:val="D83C36D4"/>
    <w:lvl w:ilvl="0" w:tplc="72E4EFBC">
      <w:start w:val="7"/>
      <w:numFmt w:val="decimal"/>
      <w:lvlText w:val="%1"/>
      <w:lvlJc w:val="left"/>
      <w:pPr>
        <w:ind w:left="32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9F2B3C"/>
    <w:multiLevelType w:val="multilevel"/>
    <w:tmpl w:val="6BD0736C"/>
    <w:lvl w:ilvl="0">
      <w:start w:val="1"/>
      <w:numFmt w:val="decimal"/>
      <w:pStyle w:val="c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D16223"/>
    <w:multiLevelType w:val="multilevel"/>
    <w:tmpl w:val="105271CE"/>
    <w:lvl w:ilvl="0">
      <w:start w:val="20"/>
      <w:numFmt w:val="decimal"/>
      <w:lvlText w:val="%1"/>
      <w:lvlJc w:val="left"/>
      <w:pPr>
        <w:ind w:left="360" w:hanging="360"/>
      </w:pPr>
      <w:rPr>
        <w:rFonts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70262099"/>
    <w:multiLevelType w:val="hybridMultilevel"/>
    <w:tmpl w:val="832A8C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3E57ADB"/>
    <w:multiLevelType w:val="hybridMultilevel"/>
    <w:tmpl w:val="7D7673BA"/>
    <w:lvl w:ilvl="0" w:tplc="C19AC88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0" w:hanging="360"/>
      </w:pPr>
    </w:lvl>
    <w:lvl w:ilvl="4" w:tplc="08090019" w:tentative="1">
      <w:start w:val="1"/>
      <w:numFmt w:val="lowerLetter"/>
      <w:lvlText w:val="%5."/>
      <w:lvlJc w:val="left"/>
      <w:pPr>
        <w:ind w:left="720" w:hanging="360"/>
      </w:pPr>
    </w:lvl>
    <w:lvl w:ilvl="5" w:tplc="0809001B" w:tentative="1">
      <w:start w:val="1"/>
      <w:numFmt w:val="lowerRoman"/>
      <w:lvlText w:val="%6."/>
      <w:lvlJc w:val="right"/>
      <w:pPr>
        <w:ind w:left="1440" w:hanging="180"/>
      </w:pPr>
    </w:lvl>
    <w:lvl w:ilvl="6" w:tplc="0809000F" w:tentative="1">
      <w:start w:val="1"/>
      <w:numFmt w:val="decimal"/>
      <w:lvlText w:val="%7."/>
      <w:lvlJc w:val="left"/>
      <w:pPr>
        <w:ind w:left="2160" w:hanging="360"/>
      </w:pPr>
    </w:lvl>
    <w:lvl w:ilvl="7" w:tplc="08090019" w:tentative="1">
      <w:start w:val="1"/>
      <w:numFmt w:val="lowerLetter"/>
      <w:lvlText w:val="%8."/>
      <w:lvlJc w:val="left"/>
      <w:pPr>
        <w:ind w:left="2880" w:hanging="360"/>
      </w:pPr>
    </w:lvl>
    <w:lvl w:ilvl="8" w:tplc="0809001B" w:tentative="1">
      <w:start w:val="1"/>
      <w:numFmt w:val="lowerRoman"/>
      <w:lvlText w:val="%9."/>
      <w:lvlJc w:val="right"/>
      <w:pPr>
        <w:ind w:left="3600" w:hanging="180"/>
      </w:pPr>
    </w:lvl>
  </w:abstractNum>
  <w:abstractNum w:abstractNumId="11" w15:restartNumberingAfterBreak="0">
    <w:nsid w:val="79D6581B"/>
    <w:multiLevelType w:val="multilevel"/>
    <w:tmpl w:val="5684923E"/>
    <w:lvl w:ilvl="0">
      <w:start w:val="15"/>
      <w:numFmt w:val="decimal"/>
      <w:lvlText w:val="%1"/>
      <w:lvlJc w:val="left"/>
      <w:pPr>
        <w:ind w:left="360" w:hanging="360"/>
      </w:pPr>
      <w:rPr>
        <w:rFonts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7E514756"/>
    <w:multiLevelType w:val="hybridMultilevel"/>
    <w:tmpl w:val="8BDE6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1"/>
  </w:num>
  <w:num w:numId="5">
    <w:abstractNumId w:val="7"/>
  </w:num>
  <w:num w:numId="6">
    <w:abstractNumId w:val="2"/>
  </w:num>
  <w:num w:numId="7">
    <w:abstractNumId w:val="5"/>
  </w:num>
  <w:num w:numId="8">
    <w:abstractNumId w:val="12"/>
  </w:num>
  <w:num w:numId="9">
    <w:abstractNumId w:val="9"/>
  </w:num>
  <w:num w:numId="10">
    <w:abstractNumId w:val="6"/>
  </w:num>
  <w:num w:numId="11">
    <w:abstractNumId w:val="10"/>
  </w:num>
  <w:num w:numId="12">
    <w:abstractNumId w:val="11"/>
  </w:num>
  <w:num w:numId="1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2"/>
    <w:rsid w:val="000117D4"/>
    <w:rsid w:val="000165C5"/>
    <w:rsid w:val="000314D7"/>
    <w:rsid w:val="00034054"/>
    <w:rsid w:val="00045F8B"/>
    <w:rsid w:val="00046D2B"/>
    <w:rsid w:val="00056263"/>
    <w:rsid w:val="00064D8A"/>
    <w:rsid w:val="00064F82"/>
    <w:rsid w:val="00066510"/>
    <w:rsid w:val="00077523"/>
    <w:rsid w:val="00086E59"/>
    <w:rsid w:val="000977CB"/>
    <w:rsid w:val="000A4BC5"/>
    <w:rsid w:val="000B1DFC"/>
    <w:rsid w:val="000C089F"/>
    <w:rsid w:val="000C3928"/>
    <w:rsid w:val="000C5E8E"/>
    <w:rsid w:val="000F1478"/>
    <w:rsid w:val="000F395E"/>
    <w:rsid w:val="000F4751"/>
    <w:rsid w:val="00104892"/>
    <w:rsid w:val="0010524C"/>
    <w:rsid w:val="00111FB1"/>
    <w:rsid w:val="00113418"/>
    <w:rsid w:val="001356F1"/>
    <w:rsid w:val="00136994"/>
    <w:rsid w:val="0014128E"/>
    <w:rsid w:val="0014456E"/>
    <w:rsid w:val="00150DF7"/>
    <w:rsid w:val="00151888"/>
    <w:rsid w:val="00163877"/>
    <w:rsid w:val="00170A2D"/>
    <w:rsid w:val="00172BA8"/>
    <w:rsid w:val="001808BC"/>
    <w:rsid w:val="00182B81"/>
    <w:rsid w:val="0018619D"/>
    <w:rsid w:val="00192624"/>
    <w:rsid w:val="001A011E"/>
    <w:rsid w:val="001A066A"/>
    <w:rsid w:val="001A13E6"/>
    <w:rsid w:val="001A5731"/>
    <w:rsid w:val="001B2BE8"/>
    <w:rsid w:val="001B42C3"/>
    <w:rsid w:val="001B5E59"/>
    <w:rsid w:val="001C534B"/>
    <w:rsid w:val="001C5D5E"/>
    <w:rsid w:val="001D4D74"/>
    <w:rsid w:val="001D678D"/>
    <w:rsid w:val="001E03F8"/>
    <w:rsid w:val="001E1678"/>
    <w:rsid w:val="001E3376"/>
    <w:rsid w:val="002069B3"/>
    <w:rsid w:val="00226385"/>
    <w:rsid w:val="002329CF"/>
    <w:rsid w:val="00232F5B"/>
    <w:rsid w:val="00247C29"/>
    <w:rsid w:val="00260467"/>
    <w:rsid w:val="002630C3"/>
    <w:rsid w:val="00263EA3"/>
    <w:rsid w:val="0027316D"/>
    <w:rsid w:val="00283394"/>
    <w:rsid w:val="00284F85"/>
    <w:rsid w:val="002870C3"/>
    <w:rsid w:val="00290915"/>
    <w:rsid w:val="00294310"/>
    <w:rsid w:val="002A22E2"/>
    <w:rsid w:val="002B6836"/>
    <w:rsid w:val="002C64F7"/>
    <w:rsid w:val="002F41F2"/>
    <w:rsid w:val="00301BF3"/>
    <w:rsid w:val="0030208D"/>
    <w:rsid w:val="00310A44"/>
    <w:rsid w:val="00316F9B"/>
    <w:rsid w:val="00323418"/>
    <w:rsid w:val="003357BF"/>
    <w:rsid w:val="00344471"/>
    <w:rsid w:val="00346115"/>
    <w:rsid w:val="00354F6A"/>
    <w:rsid w:val="00357F7E"/>
    <w:rsid w:val="00364FAD"/>
    <w:rsid w:val="0036738F"/>
    <w:rsid w:val="0036759C"/>
    <w:rsid w:val="00367AE5"/>
    <w:rsid w:val="00367D71"/>
    <w:rsid w:val="003808BF"/>
    <w:rsid w:val="0038150A"/>
    <w:rsid w:val="003A5206"/>
    <w:rsid w:val="003B583B"/>
    <w:rsid w:val="003B6E75"/>
    <w:rsid w:val="003B7DA1"/>
    <w:rsid w:val="003D0379"/>
    <w:rsid w:val="003D2574"/>
    <w:rsid w:val="003D4C59"/>
    <w:rsid w:val="003F4267"/>
    <w:rsid w:val="00404032"/>
    <w:rsid w:val="0040736F"/>
    <w:rsid w:val="00412C1F"/>
    <w:rsid w:val="00421CB2"/>
    <w:rsid w:val="00421FF0"/>
    <w:rsid w:val="004268B9"/>
    <w:rsid w:val="00433B96"/>
    <w:rsid w:val="004440F1"/>
    <w:rsid w:val="004456DD"/>
    <w:rsid w:val="00446CDF"/>
    <w:rsid w:val="004521B7"/>
    <w:rsid w:val="004548E0"/>
    <w:rsid w:val="00462AB5"/>
    <w:rsid w:val="00465EAF"/>
    <w:rsid w:val="004738C5"/>
    <w:rsid w:val="0047737B"/>
    <w:rsid w:val="00491046"/>
    <w:rsid w:val="004A2AC7"/>
    <w:rsid w:val="004A6D2F"/>
    <w:rsid w:val="004B11AE"/>
    <w:rsid w:val="004C2887"/>
    <w:rsid w:val="004D2626"/>
    <w:rsid w:val="004D6E26"/>
    <w:rsid w:val="004D77D3"/>
    <w:rsid w:val="004E2959"/>
    <w:rsid w:val="004E430A"/>
    <w:rsid w:val="004F20EF"/>
    <w:rsid w:val="004F7E55"/>
    <w:rsid w:val="0050321C"/>
    <w:rsid w:val="005060AB"/>
    <w:rsid w:val="005070E3"/>
    <w:rsid w:val="00507ECC"/>
    <w:rsid w:val="00531176"/>
    <w:rsid w:val="00544682"/>
    <w:rsid w:val="0054712D"/>
    <w:rsid w:val="00547B77"/>
    <w:rsid w:val="00547EF6"/>
    <w:rsid w:val="005561FB"/>
    <w:rsid w:val="005570B5"/>
    <w:rsid w:val="00561971"/>
    <w:rsid w:val="00567E18"/>
    <w:rsid w:val="0057406F"/>
    <w:rsid w:val="00575F5F"/>
    <w:rsid w:val="00581805"/>
    <w:rsid w:val="00582459"/>
    <w:rsid w:val="00585F76"/>
    <w:rsid w:val="005A3124"/>
    <w:rsid w:val="005A34E4"/>
    <w:rsid w:val="005A6610"/>
    <w:rsid w:val="005B17F2"/>
    <w:rsid w:val="005B7FB0"/>
    <w:rsid w:val="005C35A5"/>
    <w:rsid w:val="005C577C"/>
    <w:rsid w:val="005D0621"/>
    <w:rsid w:val="005D1E27"/>
    <w:rsid w:val="005D1F05"/>
    <w:rsid w:val="005D2A3E"/>
    <w:rsid w:val="005E022E"/>
    <w:rsid w:val="005E5215"/>
    <w:rsid w:val="005F0F80"/>
    <w:rsid w:val="005F7F7E"/>
    <w:rsid w:val="00614693"/>
    <w:rsid w:val="00623C2F"/>
    <w:rsid w:val="00633578"/>
    <w:rsid w:val="00637068"/>
    <w:rsid w:val="00650811"/>
    <w:rsid w:val="00656B76"/>
    <w:rsid w:val="00661D3E"/>
    <w:rsid w:val="00664A87"/>
    <w:rsid w:val="00676A89"/>
    <w:rsid w:val="00692627"/>
    <w:rsid w:val="00695557"/>
    <w:rsid w:val="00695C70"/>
    <w:rsid w:val="006969E7"/>
    <w:rsid w:val="00697968"/>
    <w:rsid w:val="00697F7F"/>
    <w:rsid w:val="006A3643"/>
    <w:rsid w:val="006B10C2"/>
    <w:rsid w:val="006B7C76"/>
    <w:rsid w:val="006C2A29"/>
    <w:rsid w:val="006C64CF"/>
    <w:rsid w:val="006D17B1"/>
    <w:rsid w:val="006D4752"/>
    <w:rsid w:val="006D708A"/>
    <w:rsid w:val="006E14C1"/>
    <w:rsid w:val="006F0292"/>
    <w:rsid w:val="006F27FA"/>
    <w:rsid w:val="006F416B"/>
    <w:rsid w:val="006F519B"/>
    <w:rsid w:val="006F5838"/>
    <w:rsid w:val="00702D7F"/>
    <w:rsid w:val="00706293"/>
    <w:rsid w:val="00713675"/>
    <w:rsid w:val="00715823"/>
    <w:rsid w:val="007179F4"/>
    <w:rsid w:val="00721001"/>
    <w:rsid w:val="007253EF"/>
    <w:rsid w:val="00737B93"/>
    <w:rsid w:val="00745BF0"/>
    <w:rsid w:val="00751EA3"/>
    <w:rsid w:val="007615FE"/>
    <w:rsid w:val="0076655C"/>
    <w:rsid w:val="007718DD"/>
    <w:rsid w:val="007742DC"/>
    <w:rsid w:val="00774E87"/>
    <w:rsid w:val="007774F8"/>
    <w:rsid w:val="00791437"/>
    <w:rsid w:val="007B0C2C"/>
    <w:rsid w:val="007B278E"/>
    <w:rsid w:val="007B5CA2"/>
    <w:rsid w:val="007C5C23"/>
    <w:rsid w:val="007C67C0"/>
    <w:rsid w:val="007E2A26"/>
    <w:rsid w:val="007E78E3"/>
    <w:rsid w:val="007F2348"/>
    <w:rsid w:val="007F4757"/>
    <w:rsid w:val="008009BA"/>
    <w:rsid w:val="00803F07"/>
    <w:rsid w:val="0080749A"/>
    <w:rsid w:val="00821FB8"/>
    <w:rsid w:val="00822ACD"/>
    <w:rsid w:val="00855C66"/>
    <w:rsid w:val="008568E8"/>
    <w:rsid w:val="00871A9A"/>
    <w:rsid w:val="00871EE4"/>
    <w:rsid w:val="008954DF"/>
    <w:rsid w:val="008A7100"/>
    <w:rsid w:val="008B293F"/>
    <w:rsid w:val="008B38E1"/>
    <w:rsid w:val="008B6E43"/>
    <w:rsid w:val="008B7371"/>
    <w:rsid w:val="008D3DDB"/>
    <w:rsid w:val="008F36CB"/>
    <w:rsid w:val="008F3B04"/>
    <w:rsid w:val="008F573F"/>
    <w:rsid w:val="009034EC"/>
    <w:rsid w:val="0093067A"/>
    <w:rsid w:val="00941C60"/>
    <w:rsid w:val="00941FD1"/>
    <w:rsid w:val="00944658"/>
    <w:rsid w:val="00952F58"/>
    <w:rsid w:val="00957F9D"/>
    <w:rsid w:val="009605F5"/>
    <w:rsid w:val="00960886"/>
    <w:rsid w:val="00966D42"/>
    <w:rsid w:val="00971689"/>
    <w:rsid w:val="0097170F"/>
    <w:rsid w:val="00973790"/>
    <w:rsid w:val="00973E90"/>
    <w:rsid w:val="00975B07"/>
    <w:rsid w:val="00980B4A"/>
    <w:rsid w:val="009B3E8A"/>
    <w:rsid w:val="009E3D0A"/>
    <w:rsid w:val="009E51FC"/>
    <w:rsid w:val="009E7BB8"/>
    <w:rsid w:val="009F1D28"/>
    <w:rsid w:val="009F361D"/>
    <w:rsid w:val="009F7618"/>
    <w:rsid w:val="00A04D23"/>
    <w:rsid w:val="00A06766"/>
    <w:rsid w:val="00A06E31"/>
    <w:rsid w:val="00A1061E"/>
    <w:rsid w:val="00A13765"/>
    <w:rsid w:val="00A21B12"/>
    <w:rsid w:val="00A22CDD"/>
    <w:rsid w:val="00A23F80"/>
    <w:rsid w:val="00A46E98"/>
    <w:rsid w:val="00A6352B"/>
    <w:rsid w:val="00A701B5"/>
    <w:rsid w:val="00A714BB"/>
    <w:rsid w:val="00A720DC"/>
    <w:rsid w:val="00A77147"/>
    <w:rsid w:val="00A92D8F"/>
    <w:rsid w:val="00AB2988"/>
    <w:rsid w:val="00AB5DFB"/>
    <w:rsid w:val="00AB7999"/>
    <w:rsid w:val="00AC7336"/>
    <w:rsid w:val="00AD3292"/>
    <w:rsid w:val="00AE1684"/>
    <w:rsid w:val="00AE7AF0"/>
    <w:rsid w:val="00AF3DC8"/>
    <w:rsid w:val="00AF68B6"/>
    <w:rsid w:val="00B15CD0"/>
    <w:rsid w:val="00B500CA"/>
    <w:rsid w:val="00B728A1"/>
    <w:rsid w:val="00B84FC0"/>
    <w:rsid w:val="00B86314"/>
    <w:rsid w:val="00BA1C2E"/>
    <w:rsid w:val="00BA2FA7"/>
    <w:rsid w:val="00BC200B"/>
    <w:rsid w:val="00BC4756"/>
    <w:rsid w:val="00BC5EA3"/>
    <w:rsid w:val="00BC69A4"/>
    <w:rsid w:val="00BE0680"/>
    <w:rsid w:val="00BE305F"/>
    <w:rsid w:val="00BE7BA3"/>
    <w:rsid w:val="00BF19DE"/>
    <w:rsid w:val="00BF5682"/>
    <w:rsid w:val="00BF7B09"/>
    <w:rsid w:val="00C05260"/>
    <w:rsid w:val="00C076B9"/>
    <w:rsid w:val="00C20A95"/>
    <w:rsid w:val="00C2692F"/>
    <w:rsid w:val="00C27F94"/>
    <w:rsid w:val="00C31E52"/>
    <w:rsid w:val="00C3207C"/>
    <w:rsid w:val="00C400E1"/>
    <w:rsid w:val="00C41187"/>
    <w:rsid w:val="00C63C31"/>
    <w:rsid w:val="00C757A0"/>
    <w:rsid w:val="00C7594C"/>
    <w:rsid w:val="00C760DE"/>
    <w:rsid w:val="00C80B48"/>
    <w:rsid w:val="00C82630"/>
    <w:rsid w:val="00C85B4E"/>
    <w:rsid w:val="00C907F7"/>
    <w:rsid w:val="00CA18C1"/>
    <w:rsid w:val="00CA2103"/>
    <w:rsid w:val="00CA6029"/>
    <w:rsid w:val="00CB21E8"/>
    <w:rsid w:val="00CB6B99"/>
    <w:rsid w:val="00CB7331"/>
    <w:rsid w:val="00CE4C87"/>
    <w:rsid w:val="00CE544A"/>
    <w:rsid w:val="00D073FF"/>
    <w:rsid w:val="00D077E6"/>
    <w:rsid w:val="00D11E1C"/>
    <w:rsid w:val="00D160B0"/>
    <w:rsid w:val="00D16F0A"/>
    <w:rsid w:val="00D17F94"/>
    <w:rsid w:val="00D223FC"/>
    <w:rsid w:val="00D26D1E"/>
    <w:rsid w:val="00D43B9F"/>
    <w:rsid w:val="00D474CF"/>
    <w:rsid w:val="00D51B2A"/>
    <w:rsid w:val="00D5547E"/>
    <w:rsid w:val="00D624F7"/>
    <w:rsid w:val="00D7393B"/>
    <w:rsid w:val="00D860E2"/>
    <w:rsid w:val="00D869A1"/>
    <w:rsid w:val="00D927A0"/>
    <w:rsid w:val="00DA413F"/>
    <w:rsid w:val="00DA4584"/>
    <w:rsid w:val="00DA614B"/>
    <w:rsid w:val="00DB7AD7"/>
    <w:rsid w:val="00DC3060"/>
    <w:rsid w:val="00DE0FB2"/>
    <w:rsid w:val="00DF093E"/>
    <w:rsid w:val="00E01F42"/>
    <w:rsid w:val="00E206D6"/>
    <w:rsid w:val="00E3366E"/>
    <w:rsid w:val="00E4501F"/>
    <w:rsid w:val="00E52086"/>
    <w:rsid w:val="00E529D5"/>
    <w:rsid w:val="00E536BB"/>
    <w:rsid w:val="00E543A6"/>
    <w:rsid w:val="00E60479"/>
    <w:rsid w:val="00E61D73"/>
    <w:rsid w:val="00E73684"/>
    <w:rsid w:val="00E818D6"/>
    <w:rsid w:val="00E87F7A"/>
    <w:rsid w:val="00E92D68"/>
    <w:rsid w:val="00E94B3E"/>
    <w:rsid w:val="00E96BD7"/>
    <w:rsid w:val="00EA0DB1"/>
    <w:rsid w:val="00EA0EE9"/>
    <w:rsid w:val="00EA150C"/>
    <w:rsid w:val="00EA4B85"/>
    <w:rsid w:val="00EB1E4B"/>
    <w:rsid w:val="00ED52CA"/>
    <w:rsid w:val="00ED5860"/>
    <w:rsid w:val="00ED6AD1"/>
    <w:rsid w:val="00EE35C9"/>
    <w:rsid w:val="00EF1F46"/>
    <w:rsid w:val="00EF7E8D"/>
    <w:rsid w:val="00F05ECA"/>
    <w:rsid w:val="00F212BD"/>
    <w:rsid w:val="00F26E21"/>
    <w:rsid w:val="00F3566E"/>
    <w:rsid w:val="00F375FB"/>
    <w:rsid w:val="00F4129A"/>
    <w:rsid w:val="00F41AC1"/>
    <w:rsid w:val="00F4367A"/>
    <w:rsid w:val="00F445B1"/>
    <w:rsid w:val="00F45CD4"/>
    <w:rsid w:val="00F64BE6"/>
    <w:rsid w:val="00F6519D"/>
    <w:rsid w:val="00F66DCA"/>
    <w:rsid w:val="00F7484A"/>
    <w:rsid w:val="00F74F53"/>
    <w:rsid w:val="00F7606D"/>
    <w:rsid w:val="00F80592"/>
    <w:rsid w:val="00F81670"/>
    <w:rsid w:val="00F82024"/>
    <w:rsid w:val="00F865A3"/>
    <w:rsid w:val="00F877A2"/>
    <w:rsid w:val="00F95BC9"/>
    <w:rsid w:val="00FA624C"/>
    <w:rsid w:val="00FB1ADE"/>
    <w:rsid w:val="00FC4048"/>
    <w:rsid w:val="00FD0FAC"/>
    <w:rsid w:val="00FD1DFA"/>
    <w:rsid w:val="00FD4966"/>
    <w:rsid w:val="00FD575A"/>
    <w:rsid w:val="00FE57DC"/>
    <w:rsid w:val="00FF095A"/>
    <w:rsid w:val="00FF4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2D4AEE-70B6-478E-B167-2CDE8F63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E87"/>
    <w:pPr>
      <w:spacing w:after="120"/>
    </w:pPr>
    <w:rPr>
      <w:color w:val="000000"/>
      <w:sz w:val="24"/>
      <w:szCs w:val="24"/>
    </w:rPr>
  </w:style>
  <w:style w:type="paragraph" w:styleId="Heading1">
    <w:name w:val="heading 1"/>
    <w:aliases w:val="aSectionHeader"/>
    <w:basedOn w:val="Normal"/>
    <w:next w:val="Normal"/>
    <w:link w:val="Heading1Char"/>
    <w:qFormat/>
    <w:rsid w:val="000165C5"/>
    <w:pPr>
      <w:ind w:left="709" w:hanging="709"/>
      <w:outlineLvl w:val="0"/>
    </w:pPr>
    <w:rPr>
      <w:rFonts w:ascii="Arial Bold" w:hAnsi="Arial Bold"/>
      <w:b/>
      <w:color w:val="000000" w:themeColor="text1"/>
      <w:szCs w:val="28"/>
      <w:lang w:eastAsia="en-US"/>
    </w:rPr>
  </w:style>
  <w:style w:type="paragraph" w:styleId="Heading2">
    <w:name w:val="heading 2"/>
    <w:aliases w:val="IntroHeader"/>
    <w:basedOn w:val="Normal"/>
    <w:next w:val="Normal"/>
    <w:qFormat/>
    <w:rsid w:val="00172BA8"/>
    <w:pPr>
      <w:tabs>
        <w:tab w:val="left" w:pos="1701"/>
        <w:tab w:val="left" w:pos="4536"/>
        <w:tab w:val="left" w:pos="5670"/>
      </w:tabs>
      <w:spacing w:before="120"/>
      <w:ind w:left="1701" w:hanging="1701"/>
      <w:outlineLvl w:val="1"/>
    </w:pPr>
    <w:rPr>
      <w:rFonts w:ascii="Arial Bold" w:hAnsi="Arial Bold" w:cs="Arial"/>
      <w:b/>
      <w:bCs/>
      <w:color w:val="000000" w:themeColor="text1"/>
      <w:kern w:val="32"/>
      <w:sz w:val="28"/>
      <w:lang w:eastAsia="en-US"/>
    </w:rPr>
  </w:style>
  <w:style w:type="paragraph" w:styleId="Heading3">
    <w:name w:val="heading 3"/>
    <w:basedOn w:val="Normal"/>
    <w:next w:val="Normal"/>
    <w:link w:val="Heading3Char"/>
    <w:rsid w:val="00656B76"/>
    <w:pPr>
      <w:tabs>
        <w:tab w:val="left" w:pos="567"/>
      </w:tabs>
      <w:outlineLvl w:val="2"/>
    </w:pPr>
  </w:style>
  <w:style w:type="paragraph" w:styleId="Heading4">
    <w:name w:val="heading 4"/>
    <w:basedOn w:val="Normal"/>
    <w:next w:val="Normal"/>
    <w:link w:val="Heading4Char"/>
    <w:rsid w:val="00172BA8"/>
    <w:pPr>
      <w:tabs>
        <w:tab w:val="left" w:pos="2268"/>
      </w:tabs>
      <w:ind w:left="2268" w:hanging="2268"/>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aliases w:val="cS List Paragraph,F5 List Paragraph,List Paragraph1,List Paragraph11,Numbered Para 1,Dot pt,No Spacing1,List Paragraph Char Char Char,Indicator Text,Bullet Points,MAIN CONTENT,List Paragraph12,Bullets,Lettre d'introduction,Bullet 1"/>
    <w:basedOn w:val="Normal"/>
    <w:link w:val="ListParagraphChar"/>
    <w:uiPriority w:val="34"/>
    <w:qFormat/>
    <w:rsid w:val="005570B5"/>
    <w:p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val="0"/>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14456E"/>
    <w:pPr>
      <w:numPr>
        <w:numId w:val="3"/>
      </w:numPr>
      <w:tabs>
        <w:tab w:val="left" w:pos="1134"/>
      </w:tabs>
      <w:ind w:left="1134" w:hanging="414"/>
    </w:pPr>
  </w:style>
  <w:style w:type="paragraph" w:styleId="Quote">
    <w:name w:val="Quote"/>
    <w:basedOn w:val="Normal"/>
    <w:next w:val="Normal"/>
    <w:link w:val="QuoteChar"/>
    <w:uiPriority w:val="29"/>
    <w:rsid w:val="004A6D2F"/>
    <w:rPr>
      <w:i/>
      <w:iCs/>
    </w:rPr>
  </w:style>
  <w:style w:type="character" w:customStyle="1" w:styleId="BulletpointsChar">
    <w:name w:val="Bullet points Char"/>
    <w:link w:val="Bulletpoints"/>
    <w:rsid w:val="0014456E"/>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link w:val="Footer"/>
    <w:uiPriority w:val="99"/>
    <w:rsid w:val="004B11AE"/>
    <w:rPr>
      <w:color w:val="000000"/>
      <w:sz w:val="18"/>
      <w:szCs w:val="24"/>
    </w:rPr>
  </w:style>
  <w:style w:type="character" w:customStyle="1" w:styleId="Heading3Char">
    <w:name w:val="Heading 3 Char"/>
    <w:basedOn w:val="DefaultParagraphFont"/>
    <w:link w:val="Heading3"/>
    <w:rsid w:val="000977CB"/>
    <w:rPr>
      <w:color w:val="000000"/>
      <w:sz w:val="24"/>
      <w:szCs w:val="24"/>
    </w:rPr>
  </w:style>
  <w:style w:type="paragraph" w:customStyle="1" w:styleId="bParagraphtext">
    <w:name w:val="bParagraph text"/>
    <w:basedOn w:val="ListParagraph"/>
    <w:link w:val="bParagraphtextChar"/>
    <w:qFormat/>
    <w:rsid w:val="004268B9"/>
  </w:style>
  <w:style w:type="paragraph" w:styleId="Caption">
    <w:name w:val="caption"/>
    <w:aliases w:val="FigCaption"/>
    <w:basedOn w:val="Normal"/>
    <w:next w:val="Normal"/>
    <w:unhideWhenUsed/>
    <w:qFormat/>
    <w:rsid w:val="00656B76"/>
    <w:pPr>
      <w:spacing w:before="120"/>
      <w:jc w:val="center"/>
    </w:pPr>
    <w:rPr>
      <w:b/>
      <w:bCs/>
      <w:szCs w:val="20"/>
    </w:rPr>
  </w:style>
  <w:style w:type="character" w:customStyle="1" w:styleId="ListParagraphChar">
    <w:name w:val="List Paragraph Char"/>
    <w:aliases w:val="cS List Paragraph Char,F5 List Paragraph Char,List Paragraph1 Char,List Paragraph11 Char,Numbered Para 1 Char,Dot pt Char,No Spacing1 Char,List Paragraph Char Char Char Char,Indicator Text Char,Bullet Points Char,MAIN CONTENT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cNumberedlist">
    <w:name w:val="cNumbered list"/>
    <w:basedOn w:val="Bulletpoints"/>
    <w:link w:val="cNumberedlistChar"/>
    <w:qFormat/>
    <w:rsid w:val="004738C5"/>
    <w:pPr>
      <w:numPr>
        <w:numId w:val="5"/>
      </w:numPr>
      <w:ind w:left="993" w:hanging="426"/>
    </w:pPr>
  </w:style>
  <w:style w:type="character" w:customStyle="1" w:styleId="Heading1Char">
    <w:name w:val="Heading 1 Char"/>
    <w:aliases w:val="aSectionHeader Char"/>
    <w:link w:val="Heading1"/>
    <w:rsid w:val="000165C5"/>
    <w:rPr>
      <w:rFonts w:ascii="Arial Bold" w:hAnsi="Arial Bold"/>
      <w:b/>
      <w:color w:val="000000" w:themeColor="text1"/>
      <w:sz w:val="24"/>
      <w:szCs w:val="28"/>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cNumberedlistChar">
    <w:name w:val="cNumbered list Char"/>
    <w:link w:val="cNumberedlist"/>
    <w:rsid w:val="004738C5"/>
    <w:rPr>
      <w:color w:val="000000"/>
      <w:sz w:val="24"/>
      <w:szCs w:val="24"/>
    </w:rPr>
  </w:style>
  <w:style w:type="table" w:styleId="TableColumns1">
    <w:name w:val="Table Columns 1"/>
    <w:basedOn w:val="TableNormal"/>
    <w:rsid w:val="00507ECC"/>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507ECC"/>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507ECC"/>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507E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Emphasis">
    <w:name w:val="Emphasis"/>
    <w:aliases w:val="QuoteEmphasis"/>
    <w:basedOn w:val="DefaultParagraphFont"/>
    <w:qFormat/>
    <w:rsid w:val="00D51B2A"/>
    <w:rPr>
      <w:i/>
      <w:iCs/>
    </w:rPr>
  </w:style>
  <w:style w:type="character" w:customStyle="1" w:styleId="Heading4Char">
    <w:name w:val="Heading 4 Char"/>
    <w:basedOn w:val="DefaultParagraphFont"/>
    <w:link w:val="Heading4"/>
    <w:rsid w:val="00172BA8"/>
    <w:rPr>
      <w:b/>
      <w:color w:val="000000"/>
      <w:sz w:val="24"/>
      <w:szCs w:val="24"/>
    </w:rPr>
  </w:style>
  <w:style w:type="paragraph" w:customStyle="1" w:styleId="IntroTxt">
    <w:name w:val="IntroTxt"/>
    <w:basedOn w:val="Normal"/>
    <w:qFormat/>
    <w:rsid w:val="008009BA"/>
    <w:pPr>
      <w:tabs>
        <w:tab w:val="left" w:pos="2268"/>
      </w:tabs>
      <w:ind w:left="2268" w:hanging="2268"/>
    </w:pPr>
    <w:rPr>
      <w:b/>
    </w:rPr>
  </w:style>
  <w:style w:type="paragraph" w:customStyle="1" w:styleId="IntroRecTxt">
    <w:name w:val="IntroRecTxt"/>
    <w:basedOn w:val="cNumberedlist"/>
    <w:qFormat/>
    <w:rsid w:val="008009BA"/>
    <w:pPr>
      <w:tabs>
        <w:tab w:val="left" w:pos="567"/>
      </w:tabs>
      <w:ind w:left="567" w:hanging="567"/>
    </w:pPr>
  </w:style>
  <w:style w:type="character" w:customStyle="1" w:styleId="Firstpagetablebold">
    <w:name w:val="First page table: bold"/>
    <w:qFormat/>
    <w:rsid w:val="00BC5EA3"/>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2861464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5412936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82022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AEC4C-9040-4296-A6F7-505D14D2C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3989</Words>
  <Characters>20669</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OxCityCouncil Cabinet report</vt:lpstr>
    </vt:vector>
  </TitlesOfParts>
  <Company>Oxford City Council</Company>
  <LinksUpToDate>false</LinksUpToDate>
  <CharactersWithSpaces>24609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Cabinet report</dc:title>
  <dc:creator>Oxford City Council officer</dc:creator>
  <cp:keywords>OxCityCouncil Report</cp:keywords>
  <cp:lastModifiedBy>BROWN Andrew J</cp:lastModifiedBy>
  <cp:revision>3</cp:revision>
  <cp:lastPrinted>2015-07-03T13:50:00Z</cp:lastPrinted>
  <dcterms:created xsi:type="dcterms:W3CDTF">2022-02-01T17:52:00Z</dcterms:created>
  <dcterms:modified xsi:type="dcterms:W3CDTF">2022-02-08T10:54:00Z</dcterms:modified>
  <cp:category>Report to Council or Committee</cp:category>
</cp:coreProperties>
</file>